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21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</w:r>
      <w:r>
        <w:rPr>
          <w:color w:val="ffffff"/>
          <w:sz w:val="28"/>
          <w:szCs w:val="28"/>
        </w:rPr>
      </w:r>
      <w:r>
        <w:rPr>
          <w:color w:val="ffffff"/>
          <w:sz w:val="28"/>
          <w:szCs w:val="28"/>
        </w:rPr>
      </w:r>
    </w:p>
    <w:p>
      <w:pPr>
        <w:pStyle w:val="821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</w:r>
      <w:r>
        <w:rPr>
          <w:color w:val="ffffff"/>
          <w:sz w:val="28"/>
          <w:szCs w:val="28"/>
        </w:rPr>
      </w:r>
      <w:r>
        <w:rPr>
          <w:color w:val="ffffff"/>
          <w:sz w:val="28"/>
          <w:szCs w:val="28"/>
        </w:rPr>
      </w:r>
    </w:p>
    <w:p>
      <w:pPr>
        <w:pStyle w:val="821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</w:r>
      <w:r>
        <w:rPr>
          <w:color w:val="ffffff"/>
          <w:sz w:val="28"/>
          <w:szCs w:val="28"/>
        </w:rPr>
      </w:r>
      <w:r>
        <w:rPr>
          <w:color w:val="ffffff"/>
          <w:sz w:val="28"/>
          <w:szCs w:val="28"/>
        </w:rPr>
      </w:r>
    </w:p>
    <w:p>
      <w:pPr>
        <w:pStyle w:val="82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21"/>
        <w:tabs>
          <w:tab w:val="clear" w:pos="709" w:leader="none"/>
          <w:tab w:val="left" w:pos="1935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21"/>
        <w:tabs>
          <w:tab w:val="clear" w:pos="709" w:leader="none"/>
          <w:tab w:val="left" w:pos="1935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21"/>
        <w:tabs>
          <w:tab w:val="clear" w:pos="709" w:leader="none"/>
          <w:tab w:val="left" w:pos="1935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2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2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2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2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2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2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45"/>
        <w:ind w:left="0" w:right="5527" w:firstLine="0"/>
        <w:jc w:val="both"/>
        <w:widowControl/>
        <w:tabs>
          <w:tab w:val="clear" w:pos="709" w:leader="none"/>
          <w:tab w:val="left" w:pos="5670" w:leader="none"/>
          <w:tab w:val="left" w:pos="5985" w:leader="none"/>
          <w:tab w:val="left" w:pos="6099" w:leader="none"/>
        </w:tabs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постановление Правительства Челябинской области</w:t>
        <w:br/>
        <w:t xml:space="preserve">от </w:t>
      </w:r>
      <w:r>
        <w:rPr>
          <w:rFonts w:ascii="Times New Roman" w:hAnsi="Times New Roma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 09.04.2015 г. </w:t>
      </w:r>
      <w:r>
        <w:rPr>
          <w:rFonts w:ascii="Times New Roman" w:hAnsi="Times New Roman" w:eastAsia="Calibri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lang w:val="ru-RU" w:eastAsia="zh-CN" w:bidi="ar-SA"/>
        </w:rPr>
        <w:t xml:space="preserve">№ </w:t>
      </w:r>
      <w:r>
        <w:rPr>
          <w:rFonts w:ascii="Times New Roman" w:hAnsi="Times New Roma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155-П</w:t>
      </w:r>
      <w:r/>
    </w:p>
    <w:p>
      <w:pPr>
        <w:pStyle w:val="821"/>
        <w:ind w:left="0" w:right="79" w:firstLine="0"/>
        <w:tabs>
          <w:tab w:val="clear" w:pos="709" w:leader="none"/>
          <w:tab w:val="left" w:pos="1500" w:leader="none"/>
          <w:tab w:val="left" w:pos="10659" w:leader="none"/>
          <w:tab w:val="left" w:pos="11058" w:leader="none"/>
          <w:tab w:val="left" w:pos="11172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1"/>
        <w:ind w:left="0" w:right="79" w:firstLine="0"/>
        <w:tabs>
          <w:tab w:val="clear" w:pos="709" w:leader="none"/>
          <w:tab w:val="left" w:pos="1500" w:leader="none"/>
          <w:tab w:val="left" w:pos="10659" w:leader="none"/>
          <w:tab w:val="left" w:pos="11058" w:leader="none"/>
          <w:tab w:val="left" w:pos="11172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1"/>
        <w:ind w:left="0" w:right="79" w:firstLine="709"/>
        <w:jc w:val="both"/>
        <w:tabs>
          <w:tab w:val="clear" w:pos="709" w:leader="none"/>
          <w:tab w:val="left" w:pos="1500" w:leader="none"/>
          <w:tab w:val="left" w:pos="10659" w:leader="none"/>
          <w:tab w:val="left" w:pos="11058" w:leader="none"/>
          <w:tab w:val="left" w:pos="11172" w:leader="none"/>
        </w:tabs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21"/>
        <w:ind w:left="0" w:right="0" w:firstLine="709"/>
        <w:jc w:val="both"/>
        <w:spacing w:before="0" w:after="0" w:line="240" w:lineRule="auto"/>
        <w:tabs>
          <w:tab w:val="clear" w:pos="709" w:leader="none"/>
          <w:tab w:val="left" w:pos="1500" w:leader="none"/>
          <w:tab w:val="left" w:pos="10659" w:leader="none"/>
          <w:tab w:val="left" w:pos="11058" w:leader="none"/>
          <w:tab w:val="left" w:pos="11172" w:leader="none"/>
        </w:tabs>
      </w:pPr>
      <w:r>
        <w:rPr>
          <w:rFonts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</w:rPr>
        <w:t xml:space="preserve">В соответствии с </w:t>
      </w:r>
      <w:r>
        <w:rPr>
          <w:rFonts w:cs="Times New Roman"/>
          <w:b w:val="0"/>
          <w:bCs/>
          <w:i w:val="0"/>
          <w:caps w:val="0"/>
          <w:smallCaps w:val="0"/>
          <w:strike w:val="0"/>
          <w:color w:val="000000"/>
          <w:spacing w:val="0"/>
          <w:sz w:val="28"/>
          <w:szCs w:val="28"/>
          <w:u w:val="none"/>
        </w:rPr>
        <w:t xml:space="preserve">Законом </w:t>
      </w:r>
      <w:r>
        <w:rPr>
          <w:rFonts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</w:rPr>
        <w:t xml:space="preserve">Челябинской области «О порядке перемещения задержанного транспортного средства на специализированную стоянку, его хранения и возврата, оплаты стоимости перемещения и хранения задержанного транспортного средства» </w:t>
      </w:r>
      <w:r/>
    </w:p>
    <w:p>
      <w:pPr>
        <w:pStyle w:val="821"/>
        <w:ind w:left="0" w:right="0" w:firstLine="709"/>
        <w:jc w:val="both"/>
        <w:spacing w:before="0" w:after="0" w:line="240" w:lineRule="auto"/>
        <w:tabs>
          <w:tab w:val="clear" w:pos="709" w:leader="none"/>
          <w:tab w:val="left" w:pos="1500" w:leader="none"/>
          <w:tab w:val="left" w:pos="10659" w:leader="none"/>
          <w:tab w:val="left" w:pos="11058" w:leader="none"/>
          <w:tab w:val="left" w:pos="11172" w:leader="none"/>
        </w:tabs>
      </w:pPr>
      <w:r>
        <w:rPr>
          <w:rFonts w:cs="Times New Roman"/>
          <w:bCs/>
          <w:color w:val="000000"/>
          <w:sz w:val="28"/>
          <w:szCs w:val="28"/>
        </w:rPr>
        <w:t xml:space="preserve">Правительство</w:t>
      </w:r>
      <w:r>
        <w:rPr>
          <w:bCs/>
          <w:color w:val="000000"/>
          <w:sz w:val="28"/>
          <w:szCs w:val="28"/>
        </w:rPr>
        <w:t xml:space="preserve"> Челябинской области ПОСТАНОВЛЯЕТ:</w:t>
      </w:r>
      <w:r/>
    </w:p>
    <w:p>
      <w:pPr>
        <w:pStyle w:val="821"/>
        <w:ind w:left="0" w:right="0" w:firstLine="709"/>
        <w:jc w:val="both"/>
        <w:spacing w:before="0" w:after="0" w:line="240" w:lineRule="auto"/>
      </w:pPr>
      <w:r>
        <w:rPr>
          <w:color w:val="000000"/>
          <w:sz w:val="28"/>
          <w:szCs w:val="28"/>
        </w:rPr>
        <w:t xml:space="preserve">1. </w:t>
      </w:r>
      <w:r>
        <w:rPr>
          <w:bCs/>
          <w:color w:val="000000"/>
          <w:sz w:val="28"/>
          <w:szCs w:val="28"/>
          <w:highlight w:val="white"/>
        </w:rPr>
        <w:t xml:space="preserve">Внести в </w:t>
      </w:r>
      <w:r>
        <w:rPr>
          <w:rFonts w:eastAsia="Liberation Serif" w:cs="Times New Roman"/>
          <w:b w:val="0"/>
          <w:bCs/>
          <w:i w:val="0"/>
          <w:caps w:val="0"/>
          <w:smallCaps w:val="0"/>
          <w:strike w:val="0"/>
          <w:color w:val="000000"/>
          <w:spacing w:val="0"/>
          <w:sz w:val="28"/>
          <w:szCs w:val="28"/>
          <w:highlight w:val="white"/>
          <w:u w:val="none"/>
          <w:lang w:eastAsia="ar-SA"/>
        </w:rPr>
        <w:t xml:space="preserve">Порядок </w:t>
      </w:r>
      <w:r>
        <w:rPr>
          <w:rFonts w:eastAsia="Liberation Serif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highlight w:val="white"/>
          <w:lang w:eastAsia="ar-SA"/>
        </w:rPr>
        <w:t xml:space="preserve">проведения конкурса на право осуществления деятельности по перемещению задержанного транспортного средства на специализированную стоянку, его хранению и возврату</w:t>
      </w:r>
      <w:r>
        <w:rPr>
          <w:bCs/>
          <w:color w:val="000000"/>
          <w:sz w:val="28"/>
          <w:szCs w:val="28"/>
          <w:highlight w:val="white"/>
        </w:rPr>
        <w:t xml:space="preserve">, утвержденный </w:t>
      </w:r>
      <w:r>
        <w:rPr>
          <w:rFonts w:cs="Times New Roman"/>
          <w:b w:val="0"/>
          <w:bCs/>
          <w:i w:val="0"/>
          <w:caps w:val="0"/>
          <w:smallCaps w:val="0"/>
          <w:strike w:val="0"/>
          <w:color w:val="000000"/>
          <w:spacing w:val="0"/>
          <w:sz w:val="28"/>
          <w:szCs w:val="28"/>
          <w:highlight w:val="white"/>
          <w:u w:val="none"/>
        </w:rPr>
        <w:t xml:space="preserve">постановлением </w:t>
      </w:r>
      <w:r>
        <w:rPr>
          <w:rFonts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highlight w:val="white"/>
        </w:rPr>
        <w:t xml:space="preserve">Правительства Челябинской области от 09.04.2015 г. </w:t>
      </w:r>
      <w:r>
        <w:rPr>
          <w:rFonts w:eastAsia="Calibri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highlight w:val="white"/>
          <w:lang w:val="ru-RU" w:eastAsia="zh-CN" w:bidi="ar-SA"/>
        </w:rPr>
        <w:t xml:space="preserve">№ </w:t>
      </w:r>
      <w:r>
        <w:rPr>
          <w:rFonts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highlight w:val="white"/>
        </w:rPr>
        <w:t xml:space="preserve">155-П «О Порядке проведения конкурса на право осуществления деятельности по перемещению задержанного транспортного средства на специализированную стоянку, его хранению и возврату» (Официальный интернет-портал правовой информации (</w:t>
      </w:r>
      <w:r>
        <w:rPr>
          <w:rFonts w:cs="Times New Roman"/>
          <w:b w:val="0"/>
          <w:bCs/>
          <w:i w:val="0"/>
          <w:caps w:val="0"/>
          <w:smallCaps w:val="0"/>
          <w:strike w:val="0"/>
          <w:color w:val="000000"/>
          <w:spacing w:val="0"/>
          <w:sz w:val="28"/>
          <w:szCs w:val="28"/>
          <w:highlight w:val="white"/>
          <w:u w:val="none"/>
        </w:rPr>
        <w:t xml:space="preserve">www.pravo.gov.ru</w:t>
      </w:r>
      <w:r>
        <w:rPr>
          <w:rFonts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highlight w:val="white"/>
        </w:rPr>
        <w:t xml:space="preserve">), 9 апреля 2015 г.; 29 ноября 2016 г.; 20 апреля 2018 г.; 3 декабря 2018 г.; 5 апреля 2023 г.; 12 декабря 2025 г.)</w:t>
      </w:r>
      <w:r>
        <w:rPr>
          <w:bCs/>
          <w:color w:val="000000"/>
          <w:sz w:val="28"/>
          <w:szCs w:val="28"/>
        </w:rPr>
        <w:t xml:space="preserve">, следующ</w:t>
      </w:r>
      <w:r>
        <w:rPr>
          <w:rFonts w:eastAsia="Times New Roman" w:cs="Times New Roman"/>
          <w:bCs/>
          <w:color w:val="000000"/>
          <w:sz w:val="28"/>
          <w:szCs w:val="28"/>
          <w:lang w:val="ru-RU" w:eastAsia="zh-CN" w:bidi="ar-SA"/>
        </w:rPr>
        <w:t xml:space="preserve">ие</w:t>
      </w:r>
      <w:r>
        <w:rPr>
          <w:bCs/>
          <w:color w:val="000000"/>
          <w:sz w:val="28"/>
          <w:szCs w:val="28"/>
        </w:rPr>
        <w:t xml:space="preserve"> изменени</w:t>
      </w:r>
      <w:r>
        <w:rPr>
          <w:rFonts w:eastAsia="Times New Roman" w:cs="Times New Roman"/>
          <w:bCs/>
          <w:color w:val="000000"/>
          <w:sz w:val="28"/>
          <w:szCs w:val="28"/>
          <w:lang w:val="ru-RU" w:eastAsia="zh-CN" w:bidi="ar-SA"/>
        </w:rPr>
        <w:t xml:space="preserve">я</w:t>
      </w:r>
      <w:r>
        <w:rPr>
          <w:bCs/>
          <w:color w:val="000000"/>
          <w:sz w:val="28"/>
          <w:szCs w:val="28"/>
        </w:rPr>
        <w:t xml:space="preserve">:</w:t>
      </w:r>
      <w:r>
        <w:rPr>
          <w:rFonts w:eastAsia="Liberation Serif"/>
          <w:color w:val="000000"/>
          <w:sz w:val="28"/>
          <w:szCs w:val="28"/>
          <w:lang w:eastAsia="ar-SA"/>
        </w:rPr>
        <w:t xml:space="preserve"> </w:t>
      </w:r>
      <w:r/>
    </w:p>
    <w:p>
      <w:pPr>
        <w:pStyle w:val="904"/>
        <w:ind w:left="0" w:right="0" w:firstLine="709"/>
        <w:jc w:val="both"/>
        <w:spacing w:before="0" w:after="0" w:line="240" w:lineRule="auto"/>
      </w:pPr>
      <w:r>
        <w:rPr>
          <w:rFonts w:eastAsia="Calibri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lang w:val="ru-RU" w:eastAsia="zh-CN" w:bidi="ar-SA"/>
        </w:rPr>
        <w:t xml:space="preserve">1) </w:t>
      </w:r>
      <w:r>
        <w:rPr>
          <w:rFonts w:eastAsia="Calibri"/>
          <w:color w:val="000000"/>
          <w:sz w:val="28"/>
          <w:szCs w:val="28"/>
        </w:rPr>
        <w:t xml:space="preserve">пункт 12 раздела</w:t>
      </w:r>
      <w:r>
        <w:rPr>
          <w:rFonts w:eastAsia="Calibri"/>
          <w:color w:val="000000"/>
          <w:sz w:val="28"/>
          <w:szCs w:val="28"/>
          <w:lang w:val="en-US"/>
        </w:rPr>
        <w:t xml:space="preserve"> II </w:t>
      </w:r>
      <w:r>
        <w:rPr>
          <w:rFonts w:eastAsia="Calibri"/>
          <w:color w:val="000000"/>
          <w:sz w:val="28"/>
          <w:szCs w:val="28"/>
        </w:rPr>
        <w:t xml:space="preserve">изложить в следующей редакции:</w:t>
      </w:r>
      <w:r/>
    </w:p>
    <w:p>
      <w:pPr>
        <w:pStyle w:val="904"/>
        <w:ind w:left="0" w:right="0" w:firstLine="709"/>
        <w:jc w:val="both"/>
        <w:spacing w:before="0" w:after="0" w:line="240" w:lineRule="auto"/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«12. Конкурсная документация должна содержать:</w:t>
      </w:r>
      <w:r/>
    </w:p>
    <w:p>
      <w:pPr>
        <w:pStyle w:val="821"/>
        <w:ind w:left="0" w:right="0" w:firstLine="709"/>
        <w:jc w:val="both"/>
        <w:spacing w:before="0" w:after="0" w:line="240" w:lineRule="auto"/>
      </w:pPr>
      <w:r>
        <w:rPr>
          <w:rFonts w:eastAsia="Times New Roman" w:cs="Times New Roman"/>
          <w:color w:val="000000"/>
          <w:sz w:val="28"/>
          <w:szCs w:val="28"/>
        </w:rPr>
        <w:t xml:space="preserve">1) условия допуска юридических лиц (индивидуальных предпринимателей) к участию в конкурсе;</w:t>
      </w:r>
      <w:r/>
    </w:p>
    <w:p>
      <w:pPr>
        <w:pStyle w:val="821"/>
        <w:ind w:left="0" w:right="0" w:firstLine="709"/>
        <w:jc w:val="both"/>
        <w:spacing w:before="0" w:after="0" w:line="240" w:lineRule="auto"/>
        <w:shd w:val="clear" w:color="ffffff" w:fill="ffffff"/>
        <w:sectPr>
          <w:headerReference w:type="default" r:id="rId9"/>
          <w:footnotePr/>
          <w:endnotePr/>
          <w:type w:val="nextPage"/>
          <w:pgSz w:w="11906" w:h="16838" w:orient="portrait"/>
          <w:pgMar w:top="1548" w:right="851" w:bottom="1134" w:left="1418" w:header="1134" w:footer="0" w:gutter="0"/>
          <w:pgNumType w:start="1"/>
          <w:cols w:num="1" w:sep="0" w:space="1701" w:equalWidth="1"/>
          <w:docGrid w:linePitch="360"/>
        </w:sectPr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2) требования к земельному участку (земельным участкам), принадлежащему (принадлежащим) юридическому лицу (индивидуальному предпринимателю) на праве собственности или ином законном основании, в том числе:</w:t>
      </w:r>
      <w:r/>
    </w:p>
    <w:p>
      <w:pPr>
        <w:pStyle w:val="904"/>
        <w:ind w:left="0" w:right="0" w:firstLine="709"/>
        <w:jc w:val="both"/>
        <w:spacing w:before="0" w:after="0" w:line="240" w:lineRule="auto"/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земельный участок (земельные участки), предложенный (предложенные) юридическим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лицом (индивидуальным предпринимателем) в заявке на участие в конкурсе, должен быть расположен (должны быть расположены) на территории муниципального образования Челябинской области (городского округа, муниципального округа), в котором проводится конкурс;</w:t>
      </w:r>
      <w:r/>
    </w:p>
    <w:p>
      <w:pPr>
        <w:pStyle w:val="821"/>
        <w:ind w:left="0" w:right="0" w:firstLine="709"/>
        <w:jc w:val="both"/>
        <w:spacing w:before="0" w:after="0" w:line="240" w:lineRule="auto"/>
        <w:widowControl w:val="off"/>
        <w:rPr>
          <w:color w:val="000000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разрешенное использование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земельного участка (земельных участков), предложенного (предложенных) юридическим лицом </w:t>
      </w:r>
      <w:r>
        <w:rPr>
          <w:rFonts w:eastAsia="Calibri"/>
          <w:color w:val="000000"/>
          <w:sz w:val="28"/>
          <w:szCs w:val="28"/>
        </w:rPr>
        <w:t xml:space="preserve">(индивидуальным предпринимателем) в заявке на участие в конкурсе, должно соответствовать требованиям, </w:t>
      </w:r>
      <w:r>
        <w:rPr>
          <w:rFonts w:eastAsia="Liberation Serif"/>
          <w:color w:val="000000"/>
          <w:sz w:val="28"/>
          <w:szCs w:val="28"/>
          <w:lang w:eastAsia="ar-SA"/>
        </w:rPr>
        <w:t xml:space="preserve">установленным</w:t>
      </w:r>
      <w:r>
        <w:rPr>
          <w:rFonts w:eastAsia="Calibri"/>
          <w:color w:val="000000"/>
          <w:sz w:val="28"/>
          <w:szCs w:val="28"/>
        </w:rPr>
        <w:t xml:space="preserve"> конкурсной документацией;</w:t>
      </w:r>
      <w:r>
        <w:rPr>
          <w:color w:val="000000"/>
        </w:rPr>
      </w:r>
      <w:r>
        <w:rPr>
          <w:color w:val="000000"/>
        </w:rPr>
      </w:r>
    </w:p>
    <w:p>
      <w:pPr>
        <w:pStyle w:val="821"/>
        <w:ind w:left="0" w:right="0" w:firstLine="709"/>
        <w:jc w:val="both"/>
        <w:spacing w:before="0" w:after="0" w:line="240" w:lineRule="auto"/>
        <w:widowControl w:val="off"/>
        <w:rPr>
          <w:color w:val="000000"/>
        </w:rPr>
      </w:pPr>
      <w:r>
        <w:rPr>
          <w:color w:val="000000"/>
          <w:sz w:val="28"/>
          <w:szCs w:val="28"/>
        </w:rPr>
        <w:t xml:space="preserve">общая площадь земельного участка (земельных у</w:t>
      </w:r>
      <w:r>
        <w:rPr>
          <w:color w:val="000000"/>
          <w:sz w:val="28"/>
          <w:szCs w:val="28"/>
        </w:rPr>
        <w:t xml:space="preserve">частков), предложенного (предложенных) юридическим лицом (индивидуальным предпринимателем) в заявке на участие в конкурсе, должна быть не менее общей площади земельного участка (земельных участков), указанной в конкурсной документации для конкретного лота;</w:t>
      </w:r>
      <w:r>
        <w:rPr>
          <w:color w:val="000000"/>
        </w:rPr>
      </w:r>
      <w:r>
        <w:rPr>
          <w:color w:val="000000"/>
        </w:rPr>
      </w:r>
    </w:p>
    <w:p>
      <w:pPr>
        <w:pStyle w:val="904"/>
        <w:ind w:left="0" w:right="0" w:firstLine="709"/>
        <w:jc w:val="both"/>
        <w:spacing w:before="0" w:after="0" w:line="240" w:lineRule="auto"/>
        <w:widowControl w:val="off"/>
        <w:rPr>
          <w:color w:val="000000"/>
        </w:rPr>
      </w:pPr>
      <w:r>
        <w:rPr>
          <w:rFonts w:eastAsia="Calibri"/>
          <w:color w:val="000000"/>
          <w:sz w:val="28"/>
          <w:szCs w:val="28"/>
        </w:rPr>
        <w:t xml:space="preserve">иные требования, предусмотренные конкурсной документацией;</w:t>
      </w:r>
      <w:r>
        <w:rPr>
          <w:color w:val="000000"/>
        </w:rPr>
      </w:r>
      <w:r>
        <w:rPr>
          <w:color w:val="000000"/>
        </w:rPr>
      </w:r>
    </w:p>
    <w:p>
      <w:pPr>
        <w:pStyle w:val="821"/>
        <w:ind w:left="0" w:right="0" w:firstLine="709"/>
        <w:jc w:val="both"/>
        <w:spacing w:before="0" w:after="0" w:line="240" w:lineRule="auto"/>
        <w:widowControl w:val="off"/>
        <w:rPr>
          <w:color w:val="000000"/>
        </w:rPr>
      </w:pPr>
      <w:r>
        <w:rPr>
          <w:color w:val="000000"/>
          <w:sz w:val="28"/>
          <w:szCs w:val="28"/>
        </w:rPr>
        <w:t xml:space="preserve">3) требования по в</w:t>
      </w:r>
      <w:r>
        <w:rPr>
          <w:rFonts w:eastAsia="Liberation Serif"/>
          <w:color w:val="000000"/>
          <w:sz w:val="28"/>
          <w:szCs w:val="28"/>
          <w:lang w:eastAsia="ar-SA"/>
        </w:rPr>
        <w:t xml:space="preserve">ыполнению мероприятий, направленных на обеспечение соответствия земельного участка (земельных участков) требованиям, установленным</w:t>
      </w:r>
      <w:r>
        <w:rPr>
          <w:rFonts w:eastAsia="Calibri"/>
          <w:color w:val="000000"/>
          <w:sz w:val="28"/>
          <w:szCs w:val="28"/>
          <w:lang w:eastAsia="ar-SA"/>
        </w:rPr>
        <w:t xml:space="preserve"> конкурсной документацией, в том числе:</w:t>
      </w:r>
      <w:r>
        <w:rPr>
          <w:rFonts w:eastAsia="Liberation Serif"/>
          <w:color w:val="000000"/>
          <w:sz w:val="28"/>
          <w:szCs w:val="28"/>
          <w:lang w:eastAsia="ar-SA"/>
        </w:rPr>
        <w:t xml:space="preserve"> </w:t>
      </w:r>
      <w:r>
        <w:rPr>
          <w:color w:val="000000"/>
        </w:rPr>
      </w:r>
      <w:r>
        <w:rPr>
          <w:color w:val="000000"/>
        </w:rPr>
      </w:r>
    </w:p>
    <w:p>
      <w:pPr>
        <w:pStyle w:val="904"/>
        <w:ind w:left="0" w:right="0" w:firstLine="709"/>
        <w:jc w:val="both"/>
        <w:spacing w:before="0" w:after="0" w:line="240" w:lineRule="auto"/>
      </w:pPr>
      <w:r>
        <w:rPr>
          <w:rFonts w:eastAsia="Calibri"/>
          <w:color w:val="000000"/>
          <w:sz w:val="28"/>
          <w:szCs w:val="28"/>
        </w:rPr>
        <w:t xml:space="preserve">на земельном участке (земельных участках) должна б</w:t>
      </w:r>
      <w:r>
        <w:rPr>
          <w:rFonts w:eastAsia="Calibri"/>
          <w:color w:val="000000"/>
          <w:sz w:val="28"/>
          <w:szCs w:val="28"/>
        </w:rPr>
        <w:t xml:space="preserve">ыть обеспечена безопасность хранения транспортных средств: земельный участок (земельные участки) должен быть оснащен (должны быть оснащены) видеонаблюдением за хранящимися транспортными средствами; твердым покрытием; искусственным освещением и ограждением;</w:t>
      </w:r>
      <w:r/>
    </w:p>
    <w:p>
      <w:pPr>
        <w:pStyle w:val="904"/>
        <w:ind w:left="0" w:right="0" w:firstLine="709"/>
        <w:jc w:val="both"/>
        <w:spacing w:before="0" w:after="0" w:line="240" w:lineRule="auto"/>
      </w:pPr>
      <w:r>
        <w:rPr>
          <w:rFonts w:eastAsia="Calibri"/>
          <w:color w:val="000000"/>
          <w:sz w:val="28"/>
          <w:szCs w:val="28"/>
        </w:rPr>
        <w:t xml:space="preserve">на земельном участке (земельных участках) должно быть размещено благоустроенное помещение (благоустроенные пом</w:t>
      </w:r>
      <w:r>
        <w:rPr>
          <w:rFonts w:eastAsia="Calibri"/>
          <w:color w:val="000000"/>
          <w:sz w:val="28"/>
          <w:szCs w:val="28"/>
        </w:rPr>
        <w:t xml:space="preserve">ещения) для обслуживающего персонала и для граждан, ожидающих возврата задержанных транспортных средств, оснащенное (оснащенные) искусственным освещением и местами для сидения граждан, ожидающих возврата задержанных транспортных средств, а также обеспечива</w:t>
      </w:r>
      <w:r>
        <w:rPr>
          <w:rFonts w:eastAsia="Calibri"/>
          <w:color w:val="000000"/>
          <w:sz w:val="28"/>
          <w:szCs w:val="28"/>
        </w:rPr>
        <w:t xml:space="preserve">ющее (обеспечивающие) оптимальный температурный режим исходя из погодных условий и беспрепятственный доступ маломобильных групп населения; указанное помещение (указанные помещения) должно быть оборудовано (должны быть оборудованы) информационными стендами;</w:t>
      </w:r>
      <w:r/>
    </w:p>
    <w:p>
      <w:pPr>
        <w:pStyle w:val="904"/>
        <w:ind w:left="0" w:right="0" w:firstLine="709"/>
        <w:jc w:val="both"/>
        <w:spacing w:before="0" w:after="0" w:line="240" w:lineRule="auto"/>
      </w:pPr>
      <w:r>
        <w:rPr>
          <w:rFonts w:eastAsia="Calibri"/>
          <w:color w:val="000000"/>
          <w:sz w:val="28"/>
          <w:szCs w:val="28"/>
        </w:rPr>
        <w:t xml:space="preserve">у земельного участка (земельных участков) должен быть подъезд (подъезды) к сети автомобильных дорог общего пользования;</w:t>
      </w:r>
      <w:r/>
    </w:p>
    <w:p>
      <w:pPr>
        <w:pStyle w:val="904"/>
        <w:ind w:left="0" w:right="0" w:firstLine="709"/>
        <w:jc w:val="both"/>
        <w:spacing w:before="0" w:after="0" w:line="240" w:lineRule="auto"/>
      </w:pPr>
      <w:r>
        <w:rPr>
          <w:rFonts w:eastAsia="Calibri"/>
          <w:color w:val="000000"/>
          <w:sz w:val="28"/>
          <w:szCs w:val="28"/>
        </w:rPr>
        <w:t xml:space="preserve">на земельном участке (земельных участках) должны быть размещены кильблоки, предназначенные для подпора по бортам маломерного</w:t>
      </w:r>
      <w:r>
        <w:rPr>
          <w:rFonts w:eastAsia="Calibri"/>
          <w:color w:val="000000"/>
          <w:sz w:val="28"/>
          <w:szCs w:val="28"/>
        </w:rPr>
        <w:t xml:space="preserve"> моторного судна для удержания его в устойчивом горизонтальном положении (при наличии необходимости, подтвержденной федеральным органом исполнительной власти по делам гражданской обороны, чрезвычайным ситуациям и ликвидации последствий стихийных бедствий);</w:t>
      </w:r>
      <w:r/>
    </w:p>
    <w:p>
      <w:pPr>
        <w:pStyle w:val="904"/>
        <w:ind w:left="0" w:right="0" w:firstLine="709"/>
        <w:jc w:val="both"/>
        <w:spacing w:before="0" w:after="0" w:line="240" w:lineRule="auto"/>
      </w:pPr>
      <w:r>
        <w:rPr>
          <w:rFonts w:eastAsia="Calibri"/>
          <w:color w:val="000000"/>
          <w:sz w:val="28"/>
          <w:szCs w:val="28"/>
        </w:rPr>
        <w:t xml:space="preserve">прием на хранение и выдача транспортных средств на земельном участке (земельных участках) должны быть обеспечены в круглосуточном режиме;</w:t>
      </w:r>
      <w:r/>
    </w:p>
    <w:p>
      <w:pPr>
        <w:pStyle w:val="904"/>
        <w:ind w:left="0" w:right="0" w:firstLine="709"/>
        <w:jc w:val="both"/>
        <w:spacing w:before="0" w:after="0" w:line="240" w:lineRule="auto"/>
      </w:pPr>
      <w:r>
        <w:rPr>
          <w:rFonts w:eastAsia="Calibri"/>
          <w:color w:val="000000"/>
          <w:sz w:val="28"/>
          <w:szCs w:val="28"/>
        </w:rPr>
        <w:t xml:space="preserve">иные требования, предусмотренные конкурсной документацией.</w:t>
      </w:r>
      <w:r/>
    </w:p>
    <w:p>
      <w:pPr>
        <w:pStyle w:val="904"/>
        <w:ind w:left="0" w:right="0" w:firstLine="709"/>
        <w:jc w:val="both"/>
        <w:spacing w:before="0" w:after="0" w:line="240" w:lineRule="auto"/>
      </w:pPr>
      <w:r>
        <w:rPr>
          <w:rFonts w:eastAsia="Liberation Serif"/>
          <w:color w:val="000000"/>
          <w:sz w:val="28"/>
          <w:szCs w:val="28"/>
          <w:lang w:eastAsia="ar-SA"/>
        </w:rPr>
        <w:t xml:space="preserve">Соответствие требованиям, установленным настоящим подпунктом, подтверждается юридическим лицом (индивидуальны</w:t>
      </w:r>
      <w:r>
        <w:rPr>
          <w:rFonts w:eastAsia="Liberation Serif" w:cs="Times New Roman"/>
          <w:i w:val="0"/>
          <w:iCs w:val="0"/>
          <w:color w:val="000000"/>
          <w:sz w:val="28"/>
          <w:szCs w:val="28"/>
          <w:lang w:val="ru-RU" w:eastAsia="ar-SA" w:bidi="ar-SA"/>
        </w:rPr>
        <w:t xml:space="preserve">м предпринимателем), признанным победителем конкурса, а в случае, указанном в абзаце четвертом п</w:t>
      </w:r>
      <w:r>
        <w:rPr>
          <w:rFonts w:eastAsia="Liberation Serif" w:cs="Times New Roman"/>
          <w:i w:val="0"/>
          <w:iCs w:val="0"/>
          <w:color w:val="000000"/>
          <w:sz w:val="28"/>
          <w:szCs w:val="28"/>
          <w:lang w:val="ru-RU" w:eastAsia="ar-SA" w:bidi="ar-SA"/>
        </w:rPr>
        <w:t xml:space="preserve">ункта 31 настоящего Порядка, единственным участником конкурса, исполнением взятого на себя обязательства по выполнению мероприятий, направленных на обеспечение соответствия земельного участка (земельных участков) требованиям конкурсной документации (далее </w:t>
      </w:r>
      <w:r>
        <w:rPr>
          <w:rFonts w:eastAsia="Times New Roman" w:cs="Times New Roman"/>
          <w:i w:val="0"/>
          <w:iCs w:val="0"/>
          <w:color w:val="000000" w:themeColor="text1"/>
          <w:sz w:val="28"/>
          <w:szCs w:val="28"/>
          <w:lang w:val="ru-RU" w:eastAsia="ar-SA" w:bidi="ar-SA"/>
        </w:rPr>
        <w:t xml:space="preserve">именуется </w:t>
      </w:r>
      <w:r>
        <w:rPr>
          <w:rFonts w:eastAsia="Liberation Serif" w:cs="Times New Roman"/>
          <w:i w:val="0"/>
          <w:iCs w:val="0"/>
          <w:color w:val="000000"/>
          <w:sz w:val="28"/>
          <w:szCs w:val="28"/>
          <w:lang w:val="ru-RU" w:eastAsia="ar-SA" w:bidi="ar-SA"/>
        </w:rPr>
        <w:t xml:space="preserve">- обязательство </w:t>
      </w:r>
      <w:r>
        <w:rPr>
          <w:rFonts w:eastAsia="Times New Roman" w:cs="Times New Roman"/>
          <w:i w:val="0"/>
          <w:iCs w:val="0"/>
          <w:color w:val="000000" w:themeColor="text1"/>
          <w:sz w:val="28"/>
          <w:szCs w:val="28"/>
          <w:lang w:val="ru-RU" w:eastAsia="ar-SA" w:bidi="ar-SA"/>
        </w:rPr>
        <w:t xml:space="preserve">по обеспечению соответствия</w:t>
      </w:r>
      <w:r>
        <w:rPr>
          <w:rFonts w:eastAsia="Liberation Serif" w:cs="Times New Roman"/>
          <w:i w:val="0"/>
          <w:iCs w:val="0"/>
          <w:color w:val="000000"/>
          <w:sz w:val="28"/>
          <w:szCs w:val="28"/>
          <w:lang w:val="ru-RU" w:eastAsia="ar-SA" w:bidi="ar-SA"/>
        </w:rPr>
        <w:t xml:space="preserve">), в сроки, определенные конкурсной документацией.   </w:t>
      </w:r>
      <w:r/>
    </w:p>
    <w:p>
      <w:pPr>
        <w:pStyle w:val="821"/>
        <w:ind w:left="0" w:right="0" w:firstLine="709"/>
        <w:jc w:val="both"/>
        <w:spacing w:before="0" w:after="0" w:line="240" w:lineRule="auto"/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4) требования к специ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ализированным транспортным средствам для осуществления перемещения задержанного транспортного средства на специализированную стоянку, находящимся на праве собственности или ином законном основании у юридического лица (индивидуального предпринимателя) либо </w:t>
      </w:r>
      <w:r>
        <w:rPr>
          <w:rFonts w:eastAsia="Times New Roman" w:cs="Times New Roman"/>
          <w:color w:val="000000"/>
          <w:sz w:val="28"/>
          <w:szCs w:val="28"/>
        </w:rPr>
        <w:t xml:space="preserve">принявших на себя обязательство по приобретению права собственности или иного права на специализированные транспортные средства для осуществления перемещения задержанного транспортного средства на специализированную стоянку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(далее именуется - обязательство по приобретению транспортных средств) </w:t>
      </w:r>
      <w:r>
        <w:rPr>
          <w:rFonts w:eastAsia="Times New Roman" w:cs="Times New Roman"/>
          <w:color w:val="000000"/>
          <w:sz w:val="28"/>
          <w:szCs w:val="28"/>
        </w:rPr>
        <w:t xml:space="preserve">в сроки, определенные конкурсной документацией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;</w:t>
      </w:r>
      <w:r/>
    </w:p>
    <w:p>
      <w:pPr>
        <w:pStyle w:val="821"/>
        <w:ind w:left="0" w:right="0" w:firstLine="709"/>
        <w:jc w:val="both"/>
        <w:spacing w:before="0" w:after="0" w:line="240" w:lineRule="auto"/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5) критерии оценки заявок на участие в конкурсе и шкалу оценки заявок на участие в конкурсе;</w:t>
      </w:r>
      <w:r/>
    </w:p>
    <w:p>
      <w:pPr>
        <w:pStyle w:val="821"/>
        <w:ind w:left="0" w:right="0" w:firstLine="709"/>
        <w:jc w:val="both"/>
        <w:spacing w:before="0" w:after="0" w:line="240" w:lineRule="auto"/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6) порядок оценки и сопоставления заявок на участие в конкурсе;</w:t>
      </w:r>
      <w:r/>
    </w:p>
    <w:p>
      <w:pPr>
        <w:pStyle w:val="821"/>
        <w:ind w:left="0" w:right="0" w:firstLine="709"/>
        <w:jc w:val="both"/>
        <w:spacing w:before="0" w:after="0" w:line="240" w:lineRule="auto"/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7) место, даты начала и окончания срока подачи заявок на участие в конкурсе;</w:t>
      </w:r>
      <w:r/>
    </w:p>
    <w:p>
      <w:pPr>
        <w:pStyle w:val="821"/>
        <w:ind w:left="0" w:right="0" w:firstLine="709"/>
        <w:jc w:val="both"/>
        <w:spacing w:before="0" w:after="0" w:line="240" w:lineRule="auto"/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8) место, дату и время вскрытия конвертов с заявками на участие в конкурсе;</w:t>
      </w:r>
      <w:r/>
    </w:p>
    <w:p>
      <w:pPr>
        <w:pStyle w:val="821"/>
        <w:ind w:left="0" w:right="0" w:firstLine="709"/>
        <w:jc w:val="both"/>
        <w:spacing w:before="0" w:after="0" w:line="240" w:lineRule="auto"/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9) место, дату и время рассмотрения заявок на участие в конкурсе;</w:t>
      </w:r>
      <w:r/>
    </w:p>
    <w:p>
      <w:pPr>
        <w:pStyle w:val="821"/>
        <w:ind w:left="0" w:right="0" w:firstLine="709"/>
        <w:jc w:val="both"/>
        <w:spacing w:before="0" w:after="0" w:line="240" w:lineRule="auto"/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10) место, дату и время подведения итогов конкурса;</w:t>
      </w:r>
      <w:r/>
    </w:p>
    <w:p>
      <w:pPr>
        <w:pStyle w:val="821"/>
        <w:ind w:left="0" w:right="0" w:firstLine="709"/>
        <w:jc w:val="both"/>
        <w:spacing w:before="0" w:after="0" w:line="240" w:lineRule="auto"/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11) требования к содержанию, форме, составу заявки на участие в конкурсе;</w:t>
      </w:r>
      <w:r/>
    </w:p>
    <w:p>
      <w:pPr>
        <w:pStyle w:val="821"/>
        <w:ind w:left="0" w:right="0" w:firstLine="709"/>
        <w:jc w:val="both"/>
        <w:spacing w:before="0" w:after="0" w:line="240" w:lineRule="auto"/>
        <w:rPr>
          <w:rFonts w:eastAsia="Liberation Serif"/>
          <w:color w:val="000000" w:themeColor="text1"/>
          <w:sz w:val="28"/>
          <w:szCs w:val="28"/>
          <w:highlight w:val="none"/>
        </w:rPr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12) проект договора (при проведении конкурса по нескольким лотам к конкурсной документации прилагается проект договора в отношении каждого лота).</w:t>
      </w:r>
      <w:r>
        <w:rPr>
          <w:rFonts w:eastAsia="Liberation Serif"/>
          <w:color w:val="000000" w:themeColor="text1"/>
          <w:sz w:val="28"/>
          <w:szCs w:val="28"/>
          <w:lang w:eastAsia="ar-SA"/>
        </w:rPr>
        <w:t xml:space="preserve">»;</w:t>
      </w:r>
      <w:r>
        <w:rPr>
          <w:rFonts w:eastAsia="Liberation Serif"/>
          <w:color w:val="000000" w:themeColor="text1"/>
          <w:sz w:val="28"/>
          <w:szCs w:val="28"/>
          <w:highlight w:val="none"/>
        </w:rPr>
      </w:r>
      <w:r>
        <w:rPr>
          <w:rFonts w:eastAsia="Liberation Serif"/>
          <w:color w:val="000000" w:themeColor="text1"/>
          <w:sz w:val="28"/>
          <w:szCs w:val="28"/>
          <w:highlight w:val="none"/>
        </w:rPr>
      </w:r>
    </w:p>
    <w:p>
      <w:pPr>
        <w:pStyle w:val="821"/>
        <w:ind w:left="0" w:right="0" w:firstLine="709"/>
        <w:jc w:val="both"/>
        <w:spacing w:before="0" w:after="0" w:line="240" w:lineRule="auto"/>
      </w:pPr>
      <w:r>
        <w:rPr>
          <w:rFonts w:eastAsia="Calibri"/>
          <w:color w:val="000000"/>
          <w:sz w:val="28"/>
          <w:szCs w:val="28"/>
        </w:rPr>
        <w:t xml:space="preserve">2) в абзаце </w:t>
      </w:r>
      <w:r>
        <w:rPr>
          <w:rFonts w:eastAsia="Calibri"/>
          <w:color w:val="000000"/>
          <w:sz w:val="28"/>
          <w:szCs w:val="28"/>
        </w:rPr>
        <w:t xml:space="preserve">четвертом </w:t>
      </w:r>
      <w:r>
        <w:rPr>
          <w:rFonts w:eastAsia="Calibri"/>
          <w:color w:val="000000"/>
          <w:sz w:val="28"/>
          <w:szCs w:val="28"/>
        </w:rPr>
        <w:t xml:space="preserve">пункта 25 раздела IV после слов «условия исполнения договора» дополнить словами «, в том числе предложения юридического лица (индивидуального предпринимателя) по тарифам                        </w:t>
      </w:r>
      <w:r>
        <w:rPr>
          <w:color w:val="000000"/>
          <w:sz w:val="28"/>
          <w:szCs w:val="28"/>
        </w:rPr>
        <w:t xml:space="preserve">на перемещение и хранение задержанных транспортных средств (далее имену</w:t>
      </w:r>
      <w:r>
        <w:rPr>
          <w:color w:val="000000"/>
          <w:sz w:val="28"/>
          <w:szCs w:val="28"/>
        </w:rPr>
        <w:t xml:space="preserve">ю</w:t>
      </w:r>
      <w:r>
        <w:rPr>
          <w:color w:val="000000"/>
          <w:sz w:val="28"/>
          <w:szCs w:val="28"/>
        </w:rPr>
        <w:t xml:space="preserve">тся – тарифы).»;</w:t>
      </w:r>
      <w:r/>
    </w:p>
    <w:p>
      <w:pPr>
        <w:pStyle w:val="821"/>
        <w:ind w:left="0" w:right="0" w:firstLine="709"/>
        <w:jc w:val="both"/>
        <w:spacing w:before="0" w:after="0" w:line="240" w:lineRule="auto"/>
        <w:rPr>
          <w:rFonts w:eastAsia="Calibri"/>
          <w:color w:val="000000"/>
          <w:sz w:val="28"/>
          <w:szCs w:val="28"/>
          <w:highlight w:val="none"/>
        </w:rPr>
      </w:pPr>
      <w:r>
        <w:rPr>
          <w:sz w:val="28"/>
          <w:szCs w:val="28"/>
        </w:rPr>
        <w:t xml:space="preserve">3) пункт 31 </w:t>
      </w:r>
      <w:r>
        <w:rPr>
          <w:rFonts w:eastAsia="Calibri"/>
          <w:color w:val="000000" w:themeColor="text1"/>
          <w:sz w:val="28"/>
          <w:szCs w:val="28"/>
        </w:rPr>
        <w:t xml:space="preserve">раздел</w:t>
      </w:r>
      <w:r>
        <w:rPr>
          <w:rFonts w:eastAsia="Calibri"/>
          <w:color w:val="000000" w:themeColor="text1"/>
          <w:sz w:val="28"/>
          <w:szCs w:val="28"/>
        </w:rPr>
        <w:t xml:space="preserve">а</w:t>
      </w:r>
      <w:r>
        <w:rPr>
          <w:rFonts w:eastAsia="Calibri"/>
          <w:color w:val="000000" w:themeColor="text1"/>
          <w:sz w:val="28"/>
          <w:szCs w:val="28"/>
        </w:rPr>
        <w:t xml:space="preserve"> </w:t>
      </w:r>
      <w:r>
        <w:rPr>
          <w:rFonts w:eastAsia="Calibri"/>
          <w:b w:val="0"/>
          <w:bCs w:val="0"/>
          <w:color w:val="000000" w:themeColor="text1"/>
          <w:sz w:val="28"/>
          <w:szCs w:val="28"/>
        </w:rPr>
        <w:t xml:space="preserve">V </w:t>
      </w:r>
      <w:r>
        <w:rPr>
          <w:rFonts w:eastAsia="Calibri"/>
          <w:color w:val="000000"/>
          <w:sz w:val="28"/>
          <w:szCs w:val="28"/>
        </w:rPr>
        <w:t xml:space="preserve">изложить в следующей редакции:</w:t>
      </w:r>
      <w:r>
        <w:rPr>
          <w:rFonts w:eastAsia="Calibri"/>
          <w:color w:val="000000"/>
          <w:sz w:val="28"/>
          <w:szCs w:val="28"/>
          <w:highlight w:val="none"/>
        </w:rPr>
      </w:r>
      <w:r>
        <w:rPr>
          <w:rFonts w:eastAsia="Calibri"/>
          <w:color w:val="000000"/>
          <w:sz w:val="28"/>
          <w:szCs w:val="28"/>
          <w:highlight w:val="none"/>
        </w:rPr>
      </w:r>
    </w:p>
    <w:p>
      <w:pPr>
        <w:pStyle w:val="821"/>
        <w:ind w:left="0" w:right="0" w:firstLine="709"/>
        <w:jc w:val="both"/>
        <w:spacing w:before="0" w:after="0" w:line="240" w:lineRule="auto"/>
        <w:rPr>
          <w:rFonts w:eastAsia="Calibri"/>
          <w:color w:val="000000"/>
          <w:sz w:val="28"/>
          <w:szCs w:val="28"/>
          <w:highlight w:val="none"/>
        </w:rPr>
      </w:pPr>
      <w:r>
        <w:rPr>
          <w:rFonts w:eastAsia="Calibri"/>
          <w:color w:val="000000"/>
          <w:sz w:val="28"/>
          <w:szCs w:val="28"/>
        </w:rPr>
        <w:t xml:space="preserve">«31. </w:t>
      </w:r>
      <w:r>
        <w:rPr>
          <w:rFonts w:eastAsia="Times New Roman" w:cs="Times New Roman"/>
          <w:color w:val="000000"/>
          <w:sz w:val="28"/>
          <w:szCs w:val="28"/>
        </w:rPr>
        <w:t xml:space="preserve">Итоги рассмотрения заявок на участие в конкурсе оформляются конкурсной комиссией протоколом рассмотрения заявок на участие в конкурсе (далее именуется - протокол рассмотрения заявок).</w:t>
      </w:r>
      <w:r>
        <w:rPr>
          <w:rFonts w:eastAsia="Calibri"/>
          <w:color w:val="000000"/>
          <w:sz w:val="28"/>
          <w:szCs w:val="28"/>
          <w:highlight w:val="none"/>
        </w:rPr>
      </w:r>
      <w:r>
        <w:rPr>
          <w:rFonts w:eastAsia="Calibri"/>
          <w:color w:val="000000"/>
          <w:sz w:val="28"/>
          <w:szCs w:val="28"/>
          <w:highlight w:val="none"/>
        </w:rPr>
      </w:r>
    </w:p>
    <w:p>
      <w:pPr>
        <w:pStyle w:val="821"/>
        <w:ind w:left="0" w:right="0" w:firstLine="709"/>
        <w:jc w:val="both"/>
        <w:spacing w:before="0" w:after="0" w:line="240" w:lineRule="auto"/>
        <w:rPr>
          <w:rFonts w:eastAsia="Calibri"/>
          <w:color w:val="000000"/>
          <w:sz w:val="28"/>
          <w:szCs w:val="28"/>
          <w:highlight w:val="none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В случ</w:t>
      </w:r>
      <w:r>
        <w:rPr>
          <w:rFonts w:eastAsia="Times New Roman" w:cs="Times New Roman"/>
          <w:color w:val="000000"/>
          <w:sz w:val="28"/>
          <w:szCs w:val="28"/>
        </w:rPr>
        <w:t xml:space="preserve">ае если на основании итогов рассмотрения заявок на участие в конкурсе принято решение об отказе в допуске к участию в конкурсе всех юридических лиц (индивидуальных предпринимателей), подавших заявки на участие в конкурсе, конкурс признается несостоявшимся.</w:t>
      </w:r>
      <w:r>
        <w:rPr>
          <w:rFonts w:eastAsia="Calibri"/>
          <w:color w:val="000000"/>
          <w:sz w:val="28"/>
          <w:szCs w:val="28"/>
          <w:highlight w:val="none"/>
        </w:rPr>
      </w:r>
      <w:r>
        <w:rPr>
          <w:rFonts w:eastAsia="Calibri"/>
          <w:color w:val="000000"/>
          <w:sz w:val="28"/>
          <w:szCs w:val="28"/>
          <w:highlight w:val="none"/>
        </w:rPr>
      </w:r>
    </w:p>
    <w:p>
      <w:pPr>
        <w:pStyle w:val="821"/>
        <w:ind w:left="0" w:right="0" w:firstLine="709"/>
        <w:jc w:val="both"/>
        <w:spacing w:before="0" w:after="0" w:line="240" w:lineRule="auto"/>
        <w:rPr>
          <w:rFonts w:eastAsia="Calibri"/>
          <w:color w:val="000000"/>
          <w:sz w:val="28"/>
          <w:szCs w:val="28"/>
          <w:highlight w:val="none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В случае если конкурсной документацией предусм</w:t>
      </w:r>
      <w:r>
        <w:rPr>
          <w:rFonts w:eastAsia="Times New Roman" w:cs="Times New Roman"/>
          <w:color w:val="000000"/>
          <w:sz w:val="28"/>
          <w:szCs w:val="28"/>
        </w:rPr>
        <w:t xml:space="preserve">отрено несколько лотов, конкурс признается несостоявшимся применительно к тем лотам, в отношении которых принято решение об отказе в допуске к участию в конкурсе всех юридических лиц (индивидуальных предпринимателей), подавших заявки на участие в конкурсе.</w:t>
      </w:r>
      <w:r>
        <w:rPr>
          <w:rFonts w:eastAsia="Calibri"/>
          <w:color w:val="000000"/>
          <w:sz w:val="28"/>
          <w:szCs w:val="28"/>
          <w:highlight w:val="none"/>
        </w:rPr>
      </w:r>
      <w:r>
        <w:rPr>
          <w:rFonts w:eastAsia="Calibri"/>
          <w:color w:val="000000"/>
          <w:sz w:val="28"/>
          <w:szCs w:val="28"/>
          <w:highlight w:val="none"/>
        </w:rPr>
      </w:r>
    </w:p>
    <w:p>
      <w:pPr>
        <w:pStyle w:val="821"/>
        <w:ind w:left="0" w:right="0" w:firstLine="709"/>
        <w:jc w:val="both"/>
        <w:spacing w:before="0" w:after="0" w:line="240" w:lineRule="auto"/>
        <w:rPr>
          <w:rFonts w:eastAsia="Calibri"/>
          <w:color w:val="000000"/>
          <w:sz w:val="28"/>
          <w:szCs w:val="28"/>
          <w:highlight w:val="none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В случае если на основании итогов рассмотрения заявок на участие в к</w:t>
      </w:r>
      <w:r>
        <w:rPr>
          <w:rFonts w:eastAsia="Times New Roman" w:cs="Times New Roman"/>
          <w:color w:val="000000"/>
          <w:sz w:val="28"/>
          <w:szCs w:val="28"/>
        </w:rPr>
        <w:t xml:space="preserve">онкурсе принято решение о допуске только одного юридического лица (индивидуального предпринимателя), указанное юридическое лицо (индивидуальный предприниматель) признается единственным участником конкурса. Конкурс признается несостоявшимся, а единственному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участнику конкурса направляется для подписания проект договора в течение десяти календарных дней со дня утверждения тарифов, которые устанавливаются исполнительным органом Челябинской области, уполномоченным в сфере государственного регулирования тарифов.</w:t>
      </w:r>
      <w:r>
        <w:rPr>
          <w:rFonts w:eastAsia="Calibri"/>
          <w:color w:val="000000"/>
          <w:sz w:val="28"/>
          <w:szCs w:val="28"/>
          <w:highlight w:val="none"/>
        </w:rPr>
      </w:r>
      <w:r>
        <w:rPr>
          <w:rFonts w:eastAsia="Calibri"/>
          <w:color w:val="000000"/>
          <w:sz w:val="28"/>
          <w:szCs w:val="28"/>
          <w:highlight w:val="none"/>
        </w:rPr>
      </w:r>
    </w:p>
    <w:p>
      <w:pPr>
        <w:pStyle w:val="821"/>
        <w:ind w:left="0" w:right="0" w:firstLine="709"/>
        <w:jc w:val="both"/>
        <w:spacing w:before="0" w:after="0" w:line="240" w:lineRule="auto"/>
        <w:rPr>
          <w:rFonts w:eastAsia="Calibri"/>
          <w:color w:val="000000"/>
          <w:sz w:val="28"/>
          <w:szCs w:val="28"/>
          <w:highlight w:val="none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В случае принятия конкурсной комиссией решения о признании конкурса несостоявшимся итогом конкурса является протокол рассмотрения заявок.»;</w:t>
      </w:r>
      <w:r>
        <w:rPr>
          <w:rFonts w:eastAsia="Calibri"/>
          <w:color w:val="000000"/>
          <w:sz w:val="28"/>
          <w:szCs w:val="28"/>
          <w:highlight w:val="none"/>
        </w:rPr>
      </w:r>
      <w:r>
        <w:rPr>
          <w:rFonts w:eastAsia="Calibri"/>
          <w:color w:val="000000"/>
          <w:sz w:val="28"/>
          <w:szCs w:val="28"/>
          <w:highlight w:val="none"/>
        </w:rPr>
      </w:r>
    </w:p>
    <w:p>
      <w:pPr>
        <w:pStyle w:val="904"/>
        <w:ind w:left="0" w:right="0" w:firstLine="709"/>
        <w:jc w:val="both"/>
        <w:spacing w:before="0" w:after="0" w:line="240" w:lineRule="auto"/>
        <w:rPr>
          <w:rFonts w:eastAsia="Calibri"/>
          <w:color w:val="000000" w:themeColor="text1"/>
          <w:sz w:val="28"/>
          <w:szCs w:val="28"/>
          <w:highlight w:val="none"/>
          <w:lang w:val="en-US"/>
        </w:rPr>
      </w:pPr>
      <w:r>
        <w:rPr>
          <w:rFonts w:eastAsia="Calibri"/>
          <w:color w:val="000000" w:themeColor="text1"/>
          <w:sz w:val="28"/>
          <w:szCs w:val="28"/>
        </w:rPr>
        <w:t xml:space="preserve">4) в разделе </w:t>
      </w:r>
      <w:r>
        <w:rPr>
          <w:rFonts w:eastAsia="Calibri"/>
          <w:b w:val="0"/>
          <w:bCs w:val="0"/>
          <w:color w:val="000000" w:themeColor="text1"/>
          <w:sz w:val="28"/>
          <w:szCs w:val="28"/>
        </w:rPr>
        <w:t xml:space="preserve">V</w:t>
      </w:r>
      <w:r>
        <w:rPr>
          <w:rFonts w:eastAsia="Calibri"/>
          <w:color w:val="000000" w:themeColor="text1"/>
          <w:sz w:val="28"/>
          <w:szCs w:val="28"/>
          <w:lang w:val="en-US"/>
        </w:rPr>
        <w:t xml:space="preserve">II:</w:t>
      </w:r>
      <w:r>
        <w:rPr>
          <w:rFonts w:eastAsia="Calibri"/>
          <w:color w:val="000000" w:themeColor="text1"/>
          <w:sz w:val="28"/>
          <w:szCs w:val="28"/>
          <w:highlight w:val="none"/>
          <w:lang w:val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val="en-US"/>
        </w:rPr>
      </w:r>
    </w:p>
    <w:p>
      <w:pPr>
        <w:pStyle w:val="904"/>
        <w:ind w:left="0" w:right="0" w:firstLine="709"/>
        <w:jc w:val="both"/>
        <w:spacing w:before="0" w:after="0" w:line="240" w:lineRule="auto"/>
        <w:rPr>
          <w:rFonts w:eastAsia="Calibri"/>
          <w:color w:val="000000" w:themeColor="text1"/>
          <w:sz w:val="28"/>
          <w:szCs w:val="28"/>
          <w:highlight w:val="none"/>
          <w:lang w:val="ru-RU"/>
        </w:rPr>
      </w:pPr>
      <w:r>
        <w:rPr>
          <w:rFonts w:eastAsia="Calibri"/>
          <w:color w:val="000000" w:themeColor="text1"/>
          <w:sz w:val="28"/>
          <w:szCs w:val="28"/>
          <w:lang w:val="ru-RU"/>
        </w:rPr>
        <w:t xml:space="preserve">пункт 42 изложить в следующей редакции:</w:t>
      </w:r>
      <w:r>
        <w:rPr>
          <w:rFonts w:eastAsia="Calibri"/>
          <w:color w:val="000000" w:themeColor="text1"/>
          <w:sz w:val="28"/>
          <w:szCs w:val="28"/>
          <w:highlight w:val="none"/>
          <w:lang w:val="ru-RU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val="ru-RU"/>
        </w:rPr>
      </w:r>
    </w:p>
    <w:p>
      <w:pPr>
        <w:pStyle w:val="904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«42. Организатор конкурса по истечении десяти календарных дней со дня утверждения тарифов, которые устанавливаются исполнительным органом Челябинской области, уполномоченным в сфере государственного регулирования тарифов, направляет победителю конкурса,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а в случае, указанном в </w:t>
      </w:r>
      <w:r>
        <w:rPr>
          <w:rFonts w:eastAsia="Times New Roman" w:cs="Times New Roman"/>
          <w:color w:val="000000" w:themeColor="text1"/>
          <w:sz w:val="28"/>
          <w:szCs w:val="28"/>
          <w:u w:val="none"/>
        </w:rPr>
        <w:t xml:space="preserve">абзаце четвертом пункта 31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настоящего Порядка, единственному участнику конкурса,</w:t>
      </w:r>
      <w:r>
        <w:rPr>
          <w:rFonts w:eastAsia="Times New Roman" w:cs="Times New Roman"/>
          <w:color w:val="000000"/>
          <w:sz w:val="28"/>
          <w:szCs w:val="28"/>
        </w:rPr>
        <w:t xml:space="preserve"> копию протокола оценки и сопоставления заявок и проект договора, который в течение пяти рабочих дней со дня его получения должен быть: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904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1) подписан победителем конкурса,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а в случае, указанном в </w:t>
      </w:r>
      <w:r>
        <w:rPr>
          <w:rFonts w:eastAsia="Times New Roman" w:cs="Times New Roman"/>
          <w:color w:val="000000" w:themeColor="text1"/>
          <w:sz w:val="28"/>
          <w:szCs w:val="28"/>
          <w:u w:val="none"/>
        </w:rPr>
        <w:t xml:space="preserve">абзаце четвертом пункта 31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настоящего Порядка, единственным участником конкурса</w:t>
      </w:r>
      <w:r>
        <w:rPr>
          <w:rFonts w:eastAsia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904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2) представлен победителем конкурса,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а в случае, указанном в </w:t>
      </w:r>
      <w:r>
        <w:rPr>
          <w:rFonts w:eastAsia="Times New Roman" w:cs="Times New Roman"/>
          <w:color w:val="000000" w:themeColor="text1"/>
          <w:sz w:val="28"/>
          <w:szCs w:val="28"/>
          <w:u w:val="none"/>
        </w:rPr>
        <w:t xml:space="preserve">абзаце четвертом пункта 31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настоящего Порядка, единственным участником конкурса,</w:t>
      </w:r>
      <w:r>
        <w:rPr>
          <w:rFonts w:eastAsia="Times New Roman" w:cs="Times New Roman"/>
          <w:color w:val="000000"/>
          <w:sz w:val="28"/>
          <w:szCs w:val="28"/>
        </w:rPr>
        <w:t xml:space="preserve"> организатору конкурса для регистрации.»;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904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пункт 43 изложить в следующей редакции: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904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«43. В случае если победитель конкурса,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а в случае, указанном в </w:t>
      </w:r>
      <w:r>
        <w:rPr>
          <w:rFonts w:eastAsia="Times New Roman" w:cs="Times New Roman"/>
          <w:color w:val="000000" w:themeColor="text1"/>
          <w:sz w:val="28"/>
          <w:szCs w:val="28"/>
          <w:u w:val="none"/>
        </w:rPr>
        <w:t xml:space="preserve">абзаце четвертом пункта 31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настоящего Порядка, единственный участник конкурса, </w:t>
      </w:r>
      <w:r>
        <w:rPr>
          <w:rFonts w:eastAsia="Times New Roman" w:cs="Times New Roman"/>
          <w:color w:val="000000"/>
          <w:sz w:val="28"/>
          <w:szCs w:val="28"/>
        </w:rPr>
        <w:t xml:space="preserve">в течение пяти рабочих дней с момента получения проекта договора не представил организатору конкурса подписанный со своей стороны договор, то победитель конкурса,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а в случае, указанном в </w:t>
      </w:r>
      <w:r>
        <w:rPr>
          <w:rFonts w:eastAsia="Times New Roman" w:cs="Times New Roman"/>
          <w:color w:val="000000" w:themeColor="text1"/>
          <w:sz w:val="28"/>
          <w:szCs w:val="28"/>
          <w:u w:val="none"/>
        </w:rPr>
        <w:t xml:space="preserve">абзаце четвертом пункта 31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настоящего Порядка, единственный участник конкурса,</w:t>
      </w:r>
      <w:r>
        <w:rPr>
          <w:rFonts w:eastAsia="Times New Roman" w:cs="Times New Roman"/>
          <w:color w:val="000000"/>
          <w:sz w:val="28"/>
          <w:szCs w:val="28"/>
        </w:rPr>
        <w:t xml:space="preserve"> признается уклонившимся от заключения договора.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904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Организатор конкурса в течение десяти рабочих дней со дня признания конкурсной комиссией победителя конкурса,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а в случае, указанном в </w:t>
      </w:r>
      <w:r>
        <w:rPr>
          <w:rFonts w:eastAsia="Times New Roman" w:cs="Times New Roman"/>
          <w:color w:val="000000" w:themeColor="text1"/>
          <w:sz w:val="28"/>
          <w:szCs w:val="28"/>
          <w:u w:val="none"/>
        </w:rPr>
        <w:t xml:space="preserve">абзаце четвертом пункта 31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настоящего Порядка, единственного участника конкурса, </w:t>
      </w:r>
      <w:r>
        <w:rPr>
          <w:rFonts w:eastAsia="Times New Roman" w:cs="Times New Roman"/>
          <w:color w:val="000000"/>
          <w:sz w:val="28"/>
          <w:szCs w:val="28"/>
        </w:rPr>
        <w:t xml:space="preserve">уклонившимся от заключения договора направляет проект дого</w:t>
      </w:r>
      <w:r>
        <w:rPr>
          <w:rFonts w:eastAsia="Times New Roman" w:cs="Times New Roman"/>
          <w:color w:val="000000"/>
          <w:sz w:val="28"/>
          <w:szCs w:val="28"/>
        </w:rPr>
        <w:t xml:space="preserve">вора участнику конкурса, занявшему последующее место в порядке очередности. При отсутствии иных участников конкурса, занявших последующие места, конкурс признается несостоявшимся, и организатор конкурса принимает решение о проведении повторного конкурса.»;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904"/>
        <w:ind w:left="0" w:right="0" w:firstLine="709"/>
        <w:jc w:val="both"/>
        <w:spacing w:before="0" w:after="0" w:line="240" w:lineRule="auto"/>
        <w:rPr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пункт 44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4"/>
        <w:ind w:left="0" w:right="0" w:firstLine="709"/>
        <w:jc w:val="both"/>
        <w:spacing w:before="0" w:after="0" w:line="240" w:lineRule="auto"/>
      </w:pPr>
      <w:r>
        <w:rPr>
          <w:rFonts w:eastAsia="Calibri"/>
          <w:color w:val="000000" w:themeColor="text1"/>
          <w:sz w:val="28"/>
          <w:szCs w:val="28"/>
        </w:rPr>
        <w:t xml:space="preserve">«44.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С победителем конкурса, а в случае, указанном в </w:t>
      </w:r>
      <w:r>
        <w:rPr>
          <w:rFonts w:eastAsia="Times New Roman" w:cs="Times New Roman"/>
          <w:color w:val="000000" w:themeColor="text1"/>
          <w:sz w:val="28"/>
          <w:szCs w:val="28"/>
          <w:u w:val="none"/>
        </w:rPr>
        <w:t xml:space="preserve">абзаце четвертом пункта 31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настоящего Порядка, с единственным участником конкурса, принявшим обязательство по приобретению транспортных средст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в, договор заключается после исполнения обязательства в сроки, установленные в указанном обязательстве, и представления организатору конкурса копий правоустанавливающих документов на указанные в таком обязательстве специализированные транспортные средства.</w:t>
      </w:r>
      <w:r/>
    </w:p>
    <w:p>
      <w:pPr>
        <w:pStyle w:val="821"/>
        <w:ind w:left="0" w:right="0" w:firstLine="709"/>
        <w:jc w:val="both"/>
        <w:spacing w:before="0" w:after="0" w:line="240" w:lineRule="auto"/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В случае неисполнения обязательства по приобретению транспортных средств в сроки, установленные обязательством, победитель конк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урса признается уклонившимся от заключения договора, и организатор конкурса в течение десяти рабочих дней со дня признания конкурсной комиссией победителя конкурса уклонившимся от заключения договора направляет проект договора участникам конкурса, занявшим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последующие места, в порядке очередности до последнего участника конкурса. При отсутствии иных участников конкурса, занявших последующие места, конкурс признается несостоявшимся, и организатор конкурса принимает решение о проведении повторного конкурса.»;</w:t>
      </w:r>
      <w:r/>
    </w:p>
    <w:p>
      <w:pPr>
        <w:pStyle w:val="904"/>
        <w:ind w:left="0" w:right="0" w:firstLine="709"/>
        <w:jc w:val="both"/>
        <w:spacing w:before="0" w:after="0" w:line="240" w:lineRule="auto"/>
      </w:pPr>
      <w:r>
        <w:rPr>
          <w:color w:val="000000" w:themeColor="text1"/>
          <w:sz w:val="28"/>
          <w:szCs w:val="28"/>
        </w:rPr>
        <w:t xml:space="preserve">дополнить </w:t>
      </w:r>
      <w:r>
        <w:rPr>
          <w:rFonts w:eastAsia="Calibri"/>
          <w:color w:val="000000" w:themeColor="text1"/>
          <w:sz w:val="28"/>
          <w:szCs w:val="28"/>
          <w:lang w:val="en-US"/>
        </w:rPr>
        <w:t xml:space="preserve"> </w:t>
      </w:r>
      <w:r>
        <w:rPr>
          <w:rFonts w:eastAsia="Calibri"/>
          <w:color w:val="000000" w:themeColor="text1"/>
          <w:sz w:val="28"/>
          <w:szCs w:val="28"/>
          <w:lang w:val="ru-RU"/>
        </w:rPr>
        <w:t xml:space="preserve">пунктом</w:t>
      </w:r>
      <w:r>
        <w:rPr>
          <w:rFonts w:eastAsia="Calibri"/>
          <w:color w:val="000000" w:themeColor="text1"/>
          <w:sz w:val="28"/>
          <w:szCs w:val="28"/>
          <w:lang w:val="en-US"/>
        </w:rPr>
        <w:t xml:space="preserve"> 44 - 1 </w:t>
      </w:r>
      <w:r>
        <w:rPr>
          <w:rFonts w:eastAsia="Calibri"/>
          <w:color w:val="000000" w:themeColor="text1"/>
          <w:sz w:val="28"/>
          <w:szCs w:val="28"/>
          <w:lang w:val="ru-RU"/>
        </w:rPr>
        <w:t xml:space="preserve">следующего содержания</w:t>
      </w:r>
      <w:r>
        <w:rPr>
          <w:rFonts w:eastAsia="Calibri"/>
          <w:color w:val="000000" w:themeColor="text1"/>
          <w:sz w:val="28"/>
          <w:szCs w:val="28"/>
        </w:rPr>
        <w:t xml:space="preserve">:</w:t>
      </w:r>
      <w:r/>
    </w:p>
    <w:p>
      <w:pPr>
        <w:pStyle w:val="821"/>
        <w:ind w:left="0" w:right="0" w:firstLine="709"/>
        <w:jc w:val="both"/>
        <w:spacing w:before="0" w:after="0" w:line="240" w:lineRule="auto"/>
      </w:pPr>
      <w:r>
        <w:rPr>
          <w:color w:val="000000" w:themeColor="text1"/>
          <w:sz w:val="28"/>
          <w:szCs w:val="28"/>
        </w:rPr>
        <w:t xml:space="preserve">«44-1.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С победителем конкурса, а в случае, указанном в </w:t>
      </w:r>
      <w:r>
        <w:rPr>
          <w:rFonts w:eastAsia="Times New Roman" w:cs="Times New Roman"/>
          <w:color w:val="000000" w:themeColor="text1"/>
          <w:sz w:val="28"/>
          <w:szCs w:val="28"/>
          <w:u w:val="none"/>
        </w:rPr>
        <w:t xml:space="preserve">абзаце четвертом пункта 31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настоящего Порядка, с единственным участником конкурса, принявшим обязательство по обеспечению соответствия, договор заключаетс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я после исполнения обязательства по обеспечению соответствия в сроки, установленные в указанном обязательстве, и представления организатору конкурса копий документов, подтверждающих исполнение такого обязательства, предусмотренных конкурсной документацией.</w:t>
      </w:r>
      <w:r/>
    </w:p>
    <w:p>
      <w:pPr>
        <w:pStyle w:val="821"/>
        <w:ind w:left="0" w:right="0" w:firstLine="709"/>
        <w:jc w:val="both"/>
        <w:spacing w:before="0" w:after="0" w:line="240" w:lineRule="auto"/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В случае неисполнения обязательства по обеспечению соответствия в сроки, установленные обязательством, победитель конк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урса признается уклонившимся от заключения договора, и организатор конкурса в течение десяти рабочих дней со дня признания конкурсной комиссией победителя конкурса уклонившимся от заключения договора направляет проект договора участникам конкурса, занявшим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последующие места, в порядке очередности до последнего участника конкурса. При отсутствии иных участников конкурса, занявших последующие места, конкурс признается несостоявшимся, и организатор конкурса принимает решение о проведении повторного конкурса.».</w:t>
      </w:r>
      <w:r/>
    </w:p>
    <w:p>
      <w:pPr>
        <w:pStyle w:val="821"/>
        <w:ind w:left="0" w:right="0" w:firstLine="709"/>
        <w:jc w:val="both"/>
        <w:spacing w:before="0" w:after="0" w:line="240" w:lineRule="auto"/>
      </w:pPr>
      <w:r>
        <w:rPr>
          <w:rFonts w:cs="Times New Roman"/>
          <w:color w:val="000000"/>
          <w:sz w:val="28"/>
          <w:szCs w:val="28"/>
        </w:rPr>
        <w:t xml:space="preserve">5. Настоящее постановление</w:t>
      </w:r>
      <w:r>
        <w:rPr>
          <w:rFonts w:cs="Times New Roman"/>
          <w:bCs/>
          <w:color w:val="000000"/>
          <w:sz w:val="28"/>
          <w:szCs w:val="28"/>
        </w:rPr>
        <w:t xml:space="preserve"> подлежит официальному опубликован</w:t>
      </w:r>
      <w:r>
        <w:rPr>
          <w:bCs/>
          <w:color w:val="000000"/>
          <w:sz w:val="28"/>
          <w:szCs w:val="28"/>
        </w:rPr>
        <w:t xml:space="preserve">ию.</w:t>
      </w:r>
      <w:r/>
    </w:p>
    <w:p>
      <w:pPr>
        <w:pStyle w:val="821"/>
        <w:ind w:left="0" w:right="0" w:firstLine="708"/>
        <w:jc w:val="both"/>
      </w:pPr>
      <w:r/>
      <w:r/>
    </w:p>
    <w:p>
      <w:pPr>
        <w:pStyle w:val="821"/>
        <w:ind w:left="0" w:right="0" w:firstLine="0"/>
        <w:jc w:val="both"/>
      </w:pPr>
      <w:r/>
      <w:r/>
    </w:p>
    <w:p>
      <w:pPr>
        <w:pStyle w:val="821"/>
        <w:ind w:left="1276" w:right="79" w:firstLine="0"/>
      </w:pPr>
      <w:r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Председатель </w:t>
      </w:r>
      <w:r/>
    </w:p>
    <w:p>
      <w:pPr>
        <w:pStyle w:val="821"/>
        <w:jc w:val="both"/>
        <w:tabs>
          <w:tab w:val="clear" w:pos="709" w:leader="none"/>
          <w:tab w:val="left" w:pos="9234" w:leader="none"/>
          <w:tab w:val="left" w:pos="10659" w:leader="none"/>
          <w:tab w:val="left" w:pos="11058" w:leader="none"/>
          <w:tab w:val="left" w:pos="11172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Правительства Челябинской области                                                   А.Л. Текслер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sectPr>
      <w:headerReference w:type="default" r:id="rId10"/>
      <w:headerReference w:type="even" r:id="rId11"/>
      <w:headerReference w:type="first" r:id="rId12"/>
      <w:footerReference w:type="default" r:id="rId13"/>
      <w:footerReference w:type="even" r:id="rId14"/>
      <w:footerReference w:type="first" r:id="rId15"/>
      <w:footnotePr/>
      <w:endnotePr/>
      <w:type w:val="nextPage"/>
      <w:pgSz w:w="11906" w:h="16838" w:orient="portrait"/>
      <w:pgMar w:top="1134" w:right="851" w:bottom="1134" w:left="1418" w:header="72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Calibri">
    <w:panose1 w:val="020F050202020403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Verdana">
    <w:panose1 w:val="020B0604030504040204"/>
  </w:font>
  <w:font w:name="Tahoma">
    <w:panose1 w:val="020B0604030504040204"/>
  </w:font>
  <w:font w:name="Noto Sans Devanagari">
    <w:panose1 w:val="020B0502040504020204"/>
  </w:font>
  <w:font w:name="PT Astra Serif">
    <w:panose1 w:val="020A0603040505020204"/>
  </w:font>
  <w:font w:name="NSimSun">
    <w:panose1 w:val="02000506000000020000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6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6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5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6</w:t>
    </w:r>
    <w:r>
      <w:fldChar w:fldCharType="end"/>
    </w:r>
    <w:r/>
  </w:p>
  <w:p>
    <w:pPr>
      <w:pStyle w:val="915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5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0</w:t>
    </w:r>
    <w:r>
      <w:fldChar w:fldCharType="end"/>
    </w:r>
    <w:r/>
  </w:p>
  <w:p>
    <w:pPr>
      <w:pStyle w:val="915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0</w:t>
    </w:r>
    <w:r>
      <w:fldChar w:fldCharType="end"/>
    </w:r>
    <w:r/>
  </w:p>
  <w:p>
    <w:pPr>
      <w:pStyle w:val="915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0</w:t>
    </w:r>
    <w:r>
      <w:fldChar w:fldCharType="end"/>
    </w:r>
    <w:r/>
  </w:p>
  <w:p>
    <w:pPr>
      <w:pStyle w:val="915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0</w:t>
    </w:r>
    <w:r>
      <w:fldChar w:fldCharType="end"/>
    </w:r>
    <w:r/>
  </w:p>
  <w:p>
    <w:pPr>
      <w:pStyle w:val="915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0</w:t>
    </w:r>
    <w:r>
      <w:fldChar w:fldCharType="end"/>
    </w:r>
    <w:r/>
  </w:p>
  <w:p>
    <w:pPr>
      <w:pStyle w:val="915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0</w:t>
    </w:r>
    <w:r>
      <w:fldChar w:fldCharType="end"/>
    </w:r>
    <w:r/>
  </w:p>
  <w:p>
    <w:pPr>
      <w:pStyle w:val="915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0</w:t>
    </w:r>
    <w:r>
      <w:fldChar w:fldCharType="end"/>
    </w:r>
    <w:r/>
  </w:p>
  <w:p>
    <w:pPr>
      <w:pStyle w:val="915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0</w:t>
    </w:r>
    <w:r>
      <w:fldChar w:fldCharType="end"/>
    </w:r>
    <w:r/>
  </w:p>
  <w:p>
    <w:pPr>
      <w:pStyle w:val="915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0</w:t>
    </w:r>
    <w:r>
      <w:fldChar w:fldCharType="end"/>
    </w:r>
    <w:r/>
  </w:p>
  <w:p>
    <w:pPr>
      <w:pStyle w:val="821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5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6</w:t>
    </w:r>
    <w:r>
      <w:fldChar w:fldCharType="end"/>
    </w:r>
    <w:r/>
  </w:p>
  <w:p>
    <w:pPr>
      <w:pStyle w:val="91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22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pStyle w:val="83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Arial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18">
    <w:name w:val="Hyperlink"/>
    <w:uiPriority w:val="99"/>
    <w:unhideWhenUsed/>
    <w:rPr>
      <w:color w:val="0000ff" w:themeColor="hyperlink"/>
      <w:u w:val="single"/>
    </w:rPr>
  </w:style>
  <w:style w:type="character" w:styleId="819">
    <w:name w:val="footnote reference"/>
    <w:basedOn w:val="902"/>
    <w:uiPriority w:val="99"/>
    <w:unhideWhenUsed/>
    <w:rPr>
      <w:vertAlign w:val="superscript"/>
    </w:rPr>
  </w:style>
  <w:style w:type="character" w:styleId="820">
    <w:name w:val="endnote reference"/>
    <w:basedOn w:val="902"/>
    <w:uiPriority w:val="99"/>
    <w:semiHidden/>
    <w:unhideWhenUsed/>
    <w:rPr>
      <w:vertAlign w:val="superscript"/>
    </w:rPr>
  </w:style>
  <w:style w:type="paragraph" w:styleId="821" w:default="1">
    <w:name w:val="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822">
    <w:name w:val="Heading 1"/>
    <w:basedOn w:val="821"/>
    <w:next w:val="821"/>
    <w:link w:val="836"/>
    <w:uiPriority w:val="9"/>
    <w:qFormat/>
    <w:pPr>
      <w:numPr>
        <w:ilvl w:val="0"/>
        <w:numId w:val="1"/>
      </w:num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823">
    <w:name w:val="Heading 2"/>
    <w:basedOn w:val="821"/>
    <w:next w:val="821"/>
    <w:link w:val="8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824">
    <w:name w:val="Heading 3"/>
    <w:basedOn w:val="821"/>
    <w:next w:val="821"/>
    <w:link w:val="83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25">
    <w:name w:val="Heading 4"/>
    <w:basedOn w:val="821"/>
    <w:next w:val="821"/>
    <w:link w:val="83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26">
    <w:name w:val="Heading 5"/>
    <w:basedOn w:val="821"/>
    <w:next w:val="821"/>
    <w:link w:val="84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27">
    <w:name w:val="Heading 6"/>
    <w:basedOn w:val="821"/>
    <w:next w:val="821"/>
    <w:link w:val="84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28">
    <w:name w:val="Heading 7"/>
    <w:basedOn w:val="821"/>
    <w:next w:val="821"/>
    <w:link w:val="84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29">
    <w:name w:val="Heading 8"/>
    <w:basedOn w:val="821"/>
    <w:next w:val="821"/>
    <w:link w:val="84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30">
    <w:name w:val="Heading 9"/>
    <w:basedOn w:val="821"/>
    <w:next w:val="821"/>
    <w:link w:val="844"/>
    <w:uiPriority w:val="9"/>
    <w:unhideWhenUsed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831">
    <w:name w:val="Интернет-ссылка"/>
    <w:uiPriority w:val="99"/>
    <w:unhideWhenUsed/>
    <w:rPr>
      <w:color w:val="0000ff"/>
      <w:u w:val="single"/>
    </w:rPr>
  </w:style>
  <w:style w:type="character" w:styleId="832">
    <w:name w:val="Привязка сноски"/>
    <w:rPr>
      <w:vertAlign w:val="superscript"/>
    </w:rPr>
  </w:style>
  <w:style w:type="character" w:styleId="833">
    <w:name w:val="Footnote Characters"/>
    <w:basedOn w:val="902"/>
    <w:uiPriority w:val="99"/>
    <w:unhideWhenUsed/>
    <w:qFormat/>
    <w:rPr>
      <w:vertAlign w:val="superscript"/>
    </w:rPr>
  </w:style>
  <w:style w:type="character" w:styleId="834">
    <w:name w:val="Привязка концевой сноски"/>
    <w:rPr>
      <w:vertAlign w:val="superscript"/>
    </w:rPr>
  </w:style>
  <w:style w:type="character" w:styleId="835">
    <w:name w:val="Endnote Characters"/>
    <w:basedOn w:val="902"/>
    <w:uiPriority w:val="99"/>
    <w:semiHidden/>
    <w:unhideWhenUsed/>
    <w:qFormat/>
    <w:rPr>
      <w:vertAlign w:val="superscript"/>
    </w:rPr>
  </w:style>
  <w:style w:type="character" w:styleId="836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837">
    <w:name w:val="Heading 2 Char"/>
    <w:uiPriority w:val="9"/>
    <w:qFormat/>
    <w:rPr>
      <w:rFonts w:ascii="Arial" w:hAnsi="Arial" w:eastAsia="Arial" w:cs="Arial"/>
      <w:sz w:val="34"/>
    </w:rPr>
  </w:style>
  <w:style w:type="character" w:styleId="838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839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40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4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42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43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44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45">
    <w:name w:val="Title Char"/>
    <w:uiPriority w:val="10"/>
    <w:qFormat/>
    <w:rPr>
      <w:sz w:val="48"/>
      <w:szCs w:val="48"/>
    </w:rPr>
  </w:style>
  <w:style w:type="character" w:styleId="846">
    <w:name w:val="Subtitle Char"/>
    <w:uiPriority w:val="11"/>
    <w:qFormat/>
    <w:rPr>
      <w:sz w:val="24"/>
      <w:szCs w:val="24"/>
    </w:rPr>
  </w:style>
  <w:style w:type="character" w:styleId="847">
    <w:name w:val="Quote Char"/>
    <w:link w:val="912"/>
    <w:uiPriority w:val="29"/>
    <w:qFormat/>
    <w:rPr>
      <w:i/>
    </w:rPr>
  </w:style>
  <w:style w:type="character" w:styleId="848">
    <w:name w:val="Intense Quote Char"/>
    <w:link w:val="913"/>
    <w:uiPriority w:val="30"/>
    <w:qFormat/>
    <w:rPr>
      <w:i/>
    </w:rPr>
  </w:style>
  <w:style w:type="character" w:styleId="849">
    <w:name w:val="Header Char"/>
    <w:uiPriority w:val="99"/>
    <w:qFormat/>
  </w:style>
  <w:style w:type="character" w:styleId="850">
    <w:name w:val="Footer Char"/>
    <w:uiPriority w:val="99"/>
    <w:qFormat/>
  </w:style>
  <w:style w:type="character" w:styleId="851">
    <w:name w:val="Caption Char"/>
    <w:uiPriority w:val="35"/>
    <w:qFormat/>
    <w:rPr>
      <w:b/>
      <w:bCs/>
      <w:color w:val="4f81bd" w:themeColor="accent1"/>
      <w:sz w:val="18"/>
      <w:szCs w:val="18"/>
    </w:rPr>
  </w:style>
  <w:style w:type="character" w:styleId="852">
    <w:name w:val="Footnote Text Char"/>
    <w:uiPriority w:val="99"/>
    <w:qFormat/>
    <w:rPr>
      <w:sz w:val="18"/>
    </w:rPr>
  </w:style>
  <w:style w:type="character" w:styleId="853">
    <w:name w:val="Endnote Text Char"/>
    <w:uiPriority w:val="99"/>
    <w:qFormat/>
    <w:rPr>
      <w:sz w:val="20"/>
    </w:rPr>
  </w:style>
  <w:style w:type="character" w:styleId="854">
    <w:name w:val="WW8Num1z0"/>
    <w:qFormat/>
  </w:style>
  <w:style w:type="character" w:styleId="855">
    <w:name w:val="WW8Num1z1"/>
    <w:qFormat/>
  </w:style>
  <w:style w:type="character" w:styleId="856">
    <w:name w:val="WW8Num1z2"/>
    <w:qFormat/>
  </w:style>
  <w:style w:type="character" w:styleId="857">
    <w:name w:val="WW8Num1z3"/>
    <w:qFormat/>
  </w:style>
  <w:style w:type="character" w:styleId="858">
    <w:name w:val="WW8Num1z4"/>
    <w:qFormat/>
  </w:style>
  <w:style w:type="character" w:styleId="859">
    <w:name w:val="WW8Num1z5"/>
    <w:qFormat/>
  </w:style>
  <w:style w:type="character" w:styleId="860">
    <w:name w:val="WW8Num1z6"/>
    <w:qFormat/>
  </w:style>
  <w:style w:type="character" w:styleId="861">
    <w:name w:val="WW8Num1z7"/>
    <w:qFormat/>
  </w:style>
  <w:style w:type="character" w:styleId="862">
    <w:name w:val="WW8Num1z8"/>
    <w:qFormat/>
  </w:style>
  <w:style w:type="character" w:styleId="863">
    <w:name w:val="WW8Num2z0"/>
    <w:qFormat/>
  </w:style>
  <w:style w:type="character" w:styleId="864">
    <w:name w:val="Основной шрифт абзаца"/>
    <w:qFormat/>
  </w:style>
  <w:style w:type="character" w:styleId="865">
    <w:name w:val="Основной шрифт абзаца7"/>
    <w:qFormat/>
  </w:style>
  <w:style w:type="character" w:styleId="866">
    <w:name w:val="Основной шрифт абзаца6"/>
    <w:qFormat/>
  </w:style>
  <w:style w:type="character" w:styleId="867">
    <w:name w:val="Основной шрифт абзаца5"/>
    <w:qFormat/>
  </w:style>
  <w:style w:type="character" w:styleId="868">
    <w:name w:val="Основной шрифт абзаца4"/>
    <w:qFormat/>
  </w:style>
  <w:style w:type="character" w:styleId="869">
    <w:name w:val="Основной шрифт абзаца3"/>
    <w:qFormat/>
  </w:style>
  <w:style w:type="character" w:styleId="870">
    <w:name w:val="Основной шрифт абзаца2"/>
    <w:qFormat/>
  </w:style>
  <w:style w:type="character" w:styleId="871">
    <w:name w:val="WW8Num2z1"/>
    <w:qFormat/>
  </w:style>
  <w:style w:type="character" w:styleId="872">
    <w:name w:val="WW8Num2z2"/>
    <w:qFormat/>
  </w:style>
  <w:style w:type="character" w:styleId="873">
    <w:name w:val="WW8Num2z3"/>
    <w:qFormat/>
  </w:style>
  <w:style w:type="character" w:styleId="874">
    <w:name w:val="WW8Num2z4"/>
    <w:qFormat/>
  </w:style>
  <w:style w:type="character" w:styleId="875">
    <w:name w:val="WW8Num2z5"/>
    <w:qFormat/>
  </w:style>
  <w:style w:type="character" w:styleId="876">
    <w:name w:val="WW8Num2z6"/>
    <w:qFormat/>
  </w:style>
  <w:style w:type="character" w:styleId="877">
    <w:name w:val="WW8Num2z7"/>
    <w:qFormat/>
  </w:style>
  <w:style w:type="character" w:styleId="878">
    <w:name w:val="WW8Num2z8"/>
    <w:qFormat/>
  </w:style>
  <w:style w:type="character" w:styleId="879">
    <w:name w:val="WW8Num3z0"/>
    <w:qFormat/>
  </w:style>
  <w:style w:type="character" w:styleId="880">
    <w:name w:val="WW8Num3z1"/>
    <w:qFormat/>
  </w:style>
  <w:style w:type="character" w:styleId="881">
    <w:name w:val="WW8Num3z2"/>
    <w:qFormat/>
  </w:style>
  <w:style w:type="character" w:styleId="882">
    <w:name w:val="WW8Num3z3"/>
    <w:qFormat/>
  </w:style>
  <w:style w:type="character" w:styleId="883">
    <w:name w:val="WW8Num3z4"/>
    <w:qFormat/>
  </w:style>
  <w:style w:type="character" w:styleId="884">
    <w:name w:val="WW8Num3z5"/>
    <w:qFormat/>
  </w:style>
  <w:style w:type="character" w:styleId="885">
    <w:name w:val="WW8Num3z6"/>
    <w:qFormat/>
  </w:style>
  <w:style w:type="character" w:styleId="886">
    <w:name w:val="WW8Num3z7"/>
    <w:qFormat/>
  </w:style>
  <w:style w:type="character" w:styleId="887">
    <w:name w:val="WW8Num3z8"/>
    <w:qFormat/>
  </w:style>
  <w:style w:type="character" w:styleId="888">
    <w:name w:val="WW8Num4z0"/>
    <w:qFormat/>
  </w:style>
  <w:style w:type="character" w:styleId="889">
    <w:name w:val="WW8Num4z1"/>
    <w:qFormat/>
  </w:style>
  <w:style w:type="character" w:styleId="890">
    <w:name w:val="WW8Num4z2"/>
    <w:qFormat/>
  </w:style>
  <w:style w:type="character" w:styleId="891">
    <w:name w:val="WW8Num4z3"/>
    <w:qFormat/>
  </w:style>
  <w:style w:type="character" w:styleId="892">
    <w:name w:val="WW8Num4z4"/>
    <w:qFormat/>
  </w:style>
  <w:style w:type="character" w:styleId="893">
    <w:name w:val="WW8Num4z5"/>
    <w:qFormat/>
  </w:style>
  <w:style w:type="character" w:styleId="894">
    <w:name w:val="WW8Num4z6"/>
    <w:qFormat/>
  </w:style>
  <w:style w:type="character" w:styleId="895">
    <w:name w:val="WW8Num4z7"/>
    <w:qFormat/>
  </w:style>
  <w:style w:type="character" w:styleId="896">
    <w:name w:val="WW8Num4z8"/>
    <w:qFormat/>
  </w:style>
  <w:style w:type="character" w:styleId="897">
    <w:name w:val="Основной шрифт абзаца1"/>
    <w:qFormat/>
  </w:style>
  <w:style w:type="character" w:styleId="898">
    <w:name w:val=" Знак Знак1"/>
    <w:qFormat/>
    <w:rPr>
      <w:sz w:val="24"/>
      <w:szCs w:val="24"/>
    </w:rPr>
  </w:style>
  <w:style w:type="character" w:styleId="899">
    <w:name w:val=" Знак Знак"/>
    <w:qFormat/>
    <w:rPr>
      <w:sz w:val="24"/>
      <w:szCs w:val="24"/>
    </w:rPr>
  </w:style>
  <w:style w:type="character" w:styleId="900">
    <w:name w:val="Выделение"/>
    <w:qFormat/>
    <w:rPr>
      <w:i/>
      <w:iCs/>
    </w:rPr>
  </w:style>
  <w:style w:type="character" w:styleId="901">
    <w:name w:val="Верхний колонтитул Знак"/>
    <w:qFormat/>
    <w:rPr>
      <w:sz w:val="24"/>
      <w:szCs w:val="24"/>
      <w:lang w:eastAsia="zh-CN"/>
    </w:rPr>
  </w:style>
  <w:style w:type="character" w:styleId="902" w:default="1">
    <w:name w:val="Default Paragraph Font"/>
    <w:uiPriority w:val="1"/>
    <w:semiHidden/>
    <w:unhideWhenUsed/>
    <w:qFormat/>
  </w:style>
  <w:style w:type="paragraph" w:styleId="903">
    <w:name w:val="Заголовок"/>
    <w:basedOn w:val="821"/>
    <w:next w:val="904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904">
    <w:name w:val="Body Text"/>
    <w:basedOn w:val="821"/>
    <w:pPr>
      <w:spacing w:before="0" w:after="120"/>
    </w:pPr>
  </w:style>
  <w:style w:type="paragraph" w:styleId="905">
    <w:name w:val="List"/>
    <w:basedOn w:val="904"/>
    <w:rPr>
      <w:rFonts w:ascii="PT Astra Serif" w:hAnsi="PT Astra Serif" w:cs="Noto Sans Devanagari"/>
    </w:rPr>
  </w:style>
  <w:style w:type="paragraph" w:styleId="906">
    <w:name w:val="Caption"/>
    <w:basedOn w:val="821"/>
    <w:link w:val="851"/>
    <w:uiPriority w:val="35"/>
    <w:semiHidden/>
    <w:unhideWhenUsed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907">
    <w:name w:val="Указатель"/>
    <w:basedOn w:val="821"/>
    <w:qFormat/>
    <w:pPr>
      <w:suppressLineNumbers/>
    </w:pPr>
    <w:rPr>
      <w:rFonts w:cs="Arial"/>
      <w:lang w:val="en-US" w:eastAsia="en-US" w:bidi="en-US"/>
    </w:rPr>
  </w:style>
  <w:style w:type="paragraph" w:styleId="908">
    <w:name w:val="List Paragraph"/>
    <w:basedOn w:val="821"/>
    <w:uiPriority w:val="34"/>
    <w:qFormat/>
    <w:pPr>
      <w:contextualSpacing/>
      <w:ind w:left="720" w:firstLine="0"/>
      <w:spacing w:before="0" w:after="0"/>
    </w:pPr>
  </w:style>
  <w:style w:type="paragraph" w:styleId="909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NSimSun" w:cs="Arial"/>
      <w:color w:val="auto"/>
      <w:sz w:val="20"/>
      <w:szCs w:val="20"/>
      <w:lang w:val="ru-RU" w:eastAsia="zh-CN" w:bidi="hi-IN"/>
    </w:rPr>
  </w:style>
  <w:style w:type="paragraph" w:styleId="910">
    <w:name w:val="Title"/>
    <w:basedOn w:val="821"/>
    <w:next w:val="821"/>
    <w:link w:val="845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911">
    <w:name w:val="Subtitle"/>
    <w:basedOn w:val="821"/>
    <w:next w:val="821"/>
    <w:link w:val="846"/>
    <w:uiPriority w:val="11"/>
    <w:qFormat/>
    <w:pPr>
      <w:spacing w:before="200" w:after="200"/>
    </w:pPr>
    <w:rPr>
      <w:sz w:val="24"/>
      <w:szCs w:val="24"/>
    </w:rPr>
  </w:style>
  <w:style w:type="paragraph" w:styleId="912">
    <w:name w:val="Quote"/>
    <w:basedOn w:val="821"/>
    <w:next w:val="821"/>
    <w:link w:val="847"/>
    <w:uiPriority w:val="29"/>
    <w:qFormat/>
    <w:pPr>
      <w:ind w:left="720" w:right="720" w:firstLine="0"/>
    </w:pPr>
    <w:rPr>
      <w:i/>
    </w:rPr>
  </w:style>
  <w:style w:type="paragraph" w:styleId="913">
    <w:name w:val="Intense Quote"/>
    <w:basedOn w:val="821"/>
    <w:next w:val="821"/>
    <w:link w:val="848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914">
    <w:name w:val="Колонтитул"/>
    <w:basedOn w:val="821"/>
    <w:qFormat/>
    <w:pPr>
      <w:tabs>
        <w:tab w:val="clear" w:pos="709" w:leader="none"/>
        <w:tab w:val="center" w:pos="4819" w:leader="none"/>
        <w:tab w:val="right" w:pos="9638" w:leader="none"/>
      </w:tabs>
      <w:suppressLineNumbers/>
    </w:pPr>
  </w:style>
  <w:style w:type="paragraph" w:styleId="915">
    <w:name w:val="Header"/>
    <w:basedOn w:val="821"/>
    <w:link w:val="849"/>
    <w:uiPriority w:val="99"/>
    <w:unhideWhenUsed/>
    <w:pPr>
      <w:tabs>
        <w:tab w:val="clear" w:pos="709" w:leader="none"/>
        <w:tab w:val="center" w:pos="4677" w:leader="none"/>
        <w:tab w:val="right" w:pos="9355" w:leader="none"/>
      </w:tabs>
    </w:pPr>
  </w:style>
  <w:style w:type="paragraph" w:styleId="916">
    <w:name w:val="Footer"/>
    <w:basedOn w:val="821"/>
    <w:link w:val="850"/>
    <w:uiPriority w:val="99"/>
    <w:unhideWhenUsed/>
    <w:pPr>
      <w:tabs>
        <w:tab w:val="clear" w:pos="709" w:leader="none"/>
        <w:tab w:val="center" w:pos="4677" w:leader="none"/>
        <w:tab w:val="right" w:pos="9355" w:leader="none"/>
      </w:tabs>
    </w:pPr>
  </w:style>
  <w:style w:type="paragraph" w:styleId="917">
    <w:name w:val="footnote text"/>
    <w:basedOn w:val="821"/>
    <w:link w:val="852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918">
    <w:name w:val="endnote text"/>
    <w:basedOn w:val="821"/>
    <w:link w:val="853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919">
    <w:name w:val="toc 1"/>
    <w:basedOn w:val="821"/>
    <w:next w:val="821"/>
    <w:uiPriority w:val="39"/>
    <w:unhideWhenUsed/>
    <w:pPr>
      <w:ind w:left="0" w:right="0" w:firstLine="0"/>
      <w:spacing w:before="0" w:after="57"/>
    </w:pPr>
  </w:style>
  <w:style w:type="paragraph" w:styleId="920">
    <w:name w:val="toc 2"/>
    <w:basedOn w:val="821"/>
    <w:next w:val="821"/>
    <w:uiPriority w:val="39"/>
    <w:unhideWhenUsed/>
    <w:pPr>
      <w:ind w:left="283" w:right="0" w:firstLine="0"/>
      <w:spacing w:before="0" w:after="57"/>
    </w:pPr>
  </w:style>
  <w:style w:type="paragraph" w:styleId="921">
    <w:name w:val="toc 3"/>
    <w:basedOn w:val="821"/>
    <w:next w:val="821"/>
    <w:uiPriority w:val="39"/>
    <w:unhideWhenUsed/>
    <w:pPr>
      <w:ind w:left="567" w:right="0" w:firstLine="0"/>
      <w:spacing w:before="0" w:after="57"/>
    </w:pPr>
  </w:style>
  <w:style w:type="paragraph" w:styleId="922">
    <w:name w:val="toc 4"/>
    <w:basedOn w:val="821"/>
    <w:next w:val="821"/>
    <w:uiPriority w:val="39"/>
    <w:unhideWhenUsed/>
    <w:pPr>
      <w:ind w:left="850" w:right="0" w:firstLine="0"/>
      <w:spacing w:before="0" w:after="57"/>
    </w:pPr>
  </w:style>
  <w:style w:type="paragraph" w:styleId="923">
    <w:name w:val="toc 5"/>
    <w:basedOn w:val="821"/>
    <w:next w:val="821"/>
    <w:uiPriority w:val="39"/>
    <w:unhideWhenUsed/>
    <w:pPr>
      <w:ind w:left="1134" w:right="0" w:firstLine="0"/>
      <w:spacing w:before="0" w:after="57"/>
    </w:pPr>
  </w:style>
  <w:style w:type="paragraph" w:styleId="924">
    <w:name w:val="toc 6"/>
    <w:basedOn w:val="821"/>
    <w:next w:val="821"/>
    <w:uiPriority w:val="39"/>
    <w:unhideWhenUsed/>
    <w:pPr>
      <w:ind w:left="1417" w:right="0" w:firstLine="0"/>
      <w:spacing w:before="0" w:after="57"/>
    </w:pPr>
  </w:style>
  <w:style w:type="paragraph" w:styleId="925">
    <w:name w:val="toc 7"/>
    <w:basedOn w:val="821"/>
    <w:next w:val="821"/>
    <w:uiPriority w:val="39"/>
    <w:unhideWhenUsed/>
    <w:pPr>
      <w:ind w:left="1701" w:right="0" w:firstLine="0"/>
      <w:spacing w:before="0" w:after="57"/>
    </w:pPr>
  </w:style>
  <w:style w:type="paragraph" w:styleId="926">
    <w:name w:val="toc 8"/>
    <w:basedOn w:val="821"/>
    <w:next w:val="821"/>
    <w:uiPriority w:val="39"/>
    <w:unhideWhenUsed/>
    <w:pPr>
      <w:ind w:left="1984" w:right="0" w:firstLine="0"/>
      <w:spacing w:before="0" w:after="57"/>
    </w:pPr>
  </w:style>
  <w:style w:type="paragraph" w:styleId="927">
    <w:name w:val="toc 9"/>
    <w:basedOn w:val="821"/>
    <w:next w:val="821"/>
    <w:uiPriority w:val="39"/>
    <w:unhideWhenUsed/>
    <w:pPr>
      <w:ind w:left="2268" w:right="0" w:firstLine="0"/>
      <w:spacing w:before="0" w:after="57"/>
    </w:pPr>
  </w:style>
  <w:style w:type="paragraph" w:styleId="928">
    <w:name w:val="Index Heading"/>
    <w:basedOn w:val="903"/>
  </w:style>
  <w:style w:type="paragraph" w:styleId="929">
    <w:name w:val="TOC Heading"/>
    <w:uiPriority w:val="39"/>
    <w:unhideWhenUsed/>
    <w:pPr>
      <w:jc w:val="left"/>
      <w:spacing w:before="0" w:after="0"/>
      <w:widowControl/>
    </w:pPr>
    <w:rPr>
      <w:rFonts w:ascii="Times New Roman" w:hAnsi="Times New Roman" w:eastAsia="NSimSun" w:cs="Arial"/>
      <w:color w:val="auto"/>
      <w:sz w:val="20"/>
      <w:szCs w:val="20"/>
      <w:lang w:val="ru-RU" w:eastAsia="zh-CN" w:bidi="hi-IN"/>
    </w:rPr>
  </w:style>
  <w:style w:type="paragraph" w:styleId="930">
    <w:name w:val="table of figures"/>
    <w:basedOn w:val="821"/>
    <w:next w:val="821"/>
    <w:uiPriority w:val="99"/>
    <w:unhideWhenUsed/>
    <w:qFormat/>
    <w:pPr>
      <w:spacing w:before="0" w:after="0" w:afterAutospacing="0"/>
    </w:pPr>
  </w:style>
  <w:style w:type="paragraph" w:styleId="931">
    <w:name w:val="Название объекта"/>
    <w:basedOn w:val="821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932">
    <w:name w:val="Указатель7"/>
    <w:basedOn w:val="821"/>
    <w:qFormat/>
    <w:pPr>
      <w:suppressLineNumbers/>
    </w:pPr>
    <w:rPr>
      <w:rFonts w:cs="Arial"/>
      <w:lang w:val="en-US" w:bidi="en-US"/>
    </w:rPr>
  </w:style>
  <w:style w:type="paragraph" w:styleId="933">
    <w:name w:val="Название объекта6"/>
    <w:basedOn w:val="821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934">
    <w:name w:val="Указатель6"/>
    <w:basedOn w:val="821"/>
    <w:qFormat/>
    <w:pPr>
      <w:suppressLineNumbers/>
    </w:pPr>
    <w:rPr>
      <w:rFonts w:cs="Arial"/>
      <w:lang w:val="en-US" w:bidi="en-US"/>
    </w:rPr>
  </w:style>
  <w:style w:type="paragraph" w:styleId="935">
    <w:name w:val="Название объекта5"/>
    <w:basedOn w:val="821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936">
    <w:name w:val="Указатель5"/>
    <w:basedOn w:val="821"/>
    <w:qFormat/>
    <w:pPr>
      <w:suppressLineNumbers/>
    </w:pPr>
    <w:rPr>
      <w:rFonts w:cs="Arial"/>
      <w:lang w:val="en-US" w:bidi="en-US"/>
    </w:rPr>
  </w:style>
  <w:style w:type="paragraph" w:styleId="937">
    <w:name w:val="Название объекта4"/>
    <w:basedOn w:val="821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938">
    <w:name w:val="Указатель4"/>
    <w:basedOn w:val="821"/>
    <w:qFormat/>
    <w:pPr>
      <w:suppressLineNumbers/>
    </w:pPr>
    <w:rPr>
      <w:rFonts w:cs="Arial"/>
      <w:lang w:val="en-US" w:bidi="en-US"/>
    </w:rPr>
  </w:style>
  <w:style w:type="paragraph" w:styleId="939">
    <w:name w:val="Название объекта3"/>
    <w:basedOn w:val="821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940">
    <w:name w:val="Указатель3"/>
    <w:basedOn w:val="821"/>
    <w:qFormat/>
    <w:pPr>
      <w:suppressLineNumbers/>
    </w:pPr>
    <w:rPr>
      <w:rFonts w:cs="Arial"/>
      <w:lang w:val="en-US" w:bidi="en-US"/>
    </w:rPr>
  </w:style>
  <w:style w:type="paragraph" w:styleId="941">
    <w:name w:val="Название объекта2"/>
    <w:basedOn w:val="821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942">
    <w:name w:val="Указатель2"/>
    <w:basedOn w:val="821"/>
    <w:qFormat/>
    <w:pPr>
      <w:suppressLineNumbers/>
    </w:pPr>
    <w:rPr>
      <w:rFonts w:ascii="PT Astra Serif" w:hAnsi="PT Astra Serif" w:cs="Noto Sans Devanagari"/>
    </w:rPr>
  </w:style>
  <w:style w:type="paragraph" w:styleId="943">
    <w:name w:val="Название объекта1"/>
    <w:basedOn w:val="821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944">
    <w:name w:val="Указатель1"/>
    <w:basedOn w:val="821"/>
    <w:qFormat/>
    <w:pPr>
      <w:suppressLineNumbers/>
    </w:pPr>
    <w:rPr>
      <w:rFonts w:ascii="PT Astra Serif" w:hAnsi="PT Astra Serif" w:cs="Noto Sans Devanagari"/>
    </w:rPr>
  </w:style>
  <w:style w:type="paragraph" w:styleId="945">
    <w:name w:val="ConsPlusNormal"/>
    <w:qFormat/>
    <w:pPr>
      <w:ind w:left="0" w:right="0" w:firstLine="720"/>
      <w:jc w:val="left"/>
      <w:spacing w:before="0" w:after="0"/>
      <w:widowControl w:val="off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946">
    <w:name w:val="ConsPlusTitle"/>
    <w:qFormat/>
    <w:pPr>
      <w:jc w:val="left"/>
      <w:spacing w:before="0" w:after="0"/>
      <w:widowControl w:val="off"/>
    </w:pPr>
    <w:rPr>
      <w:rFonts w:ascii="Times New Roman" w:hAnsi="Times New Roman" w:eastAsia="Times New Roman" w:cs="Times New Roman"/>
      <w:b/>
      <w:bCs/>
      <w:color w:val="auto"/>
      <w:sz w:val="24"/>
      <w:szCs w:val="24"/>
      <w:lang w:val="ru-RU" w:eastAsia="zh-CN" w:bidi="ar-SA"/>
    </w:rPr>
  </w:style>
  <w:style w:type="paragraph" w:styleId="947">
    <w:name w:val="ConsPlusCell"/>
    <w:qFormat/>
    <w:pPr>
      <w:jc w:val="left"/>
      <w:spacing w:before="0" w:after="0"/>
      <w:widowControl w:val="off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948">
    <w:name w:val="Текст выноски"/>
    <w:basedOn w:val="821"/>
    <w:qFormat/>
    <w:rPr>
      <w:rFonts w:ascii="Tahoma" w:hAnsi="Tahoma" w:cs="Tahoma"/>
      <w:sz w:val="16"/>
      <w:szCs w:val="16"/>
    </w:rPr>
  </w:style>
  <w:style w:type="paragraph" w:styleId="949">
    <w:name w:val=" Знак Знак Знак Знак Знак Знак Знак"/>
    <w:basedOn w:val="821"/>
    <w:qFormat/>
    <w:pPr>
      <w:jc w:val="both"/>
      <w:spacing w:before="0" w:after="160" w:line="240" w:lineRule="exact"/>
    </w:pPr>
    <w:rPr>
      <w:lang w:val="en-US"/>
    </w:rPr>
  </w:style>
  <w:style w:type="paragraph" w:styleId="950">
    <w:name w:val="Знак Знак Знак Знак Знак Знак Знак"/>
    <w:basedOn w:val="821"/>
    <w:qFormat/>
    <w:pPr>
      <w:jc w:val="both"/>
      <w:spacing w:before="0" w:after="160" w:line="240" w:lineRule="exact"/>
    </w:pPr>
    <w:rPr>
      <w:lang w:val="en-US"/>
    </w:rPr>
  </w:style>
  <w:style w:type="paragraph" w:styleId="951">
    <w:name w:val="Схема документа1"/>
    <w:basedOn w:val="821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952">
    <w:name w:val="Верхний и нижний колонтитулы"/>
    <w:basedOn w:val="821"/>
    <w:qFormat/>
    <w:pPr>
      <w:tabs>
        <w:tab w:val="clear" w:pos="709" w:leader="none"/>
        <w:tab w:val="center" w:pos="4819" w:leader="none"/>
        <w:tab w:val="right" w:pos="9638" w:leader="none"/>
      </w:tabs>
      <w:suppressLineNumbers/>
    </w:pPr>
  </w:style>
  <w:style w:type="paragraph" w:styleId="953">
    <w:name w:val=" Знак"/>
    <w:basedOn w:val="821"/>
    <w:qFormat/>
    <w:rPr>
      <w:rFonts w:ascii="Verdana" w:hAnsi="Verdana" w:cs="Verdana"/>
      <w:sz w:val="20"/>
      <w:szCs w:val="20"/>
      <w:lang w:val="en-US"/>
    </w:rPr>
  </w:style>
  <w:style w:type="paragraph" w:styleId="954">
    <w:name w:val="Body Text Indent 2"/>
    <w:basedOn w:val="821"/>
    <w:qFormat/>
    <w:pPr>
      <w:ind w:left="283" w:right="0" w:firstLine="0"/>
      <w:spacing w:before="0" w:after="120" w:line="480" w:lineRule="auto"/>
    </w:pPr>
  </w:style>
  <w:style w:type="paragraph" w:styleId="955">
    <w:name w:val="LO-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numbering" w:styleId="956" w:default="1">
    <w:name w:val="No List"/>
    <w:uiPriority w:val="99"/>
    <w:semiHidden/>
    <w:unhideWhenUsed/>
    <w:qFormat/>
  </w:style>
  <w:style w:type="table" w:styleId="957">
    <w:name w:val="Table Grid"/>
    <w:basedOn w:val="108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58">
    <w:name w:val="Table Grid Light"/>
    <w:basedOn w:val="108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59">
    <w:name w:val="Plain Table 1"/>
    <w:basedOn w:val="108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960">
    <w:name w:val="Plain Table 2"/>
    <w:basedOn w:val="108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961">
    <w:name w:val="Plain Table 3"/>
    <w:basedOn w:val="108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62">
    <w:name w:val="Plain Table 4"/>
    <w:basedOn w:val="108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3">
    <w:name w:val="Plain Table 5"/>
    <w:basedOn w:val="108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64">
    <w:name w:val="Grid Table 1 Light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5">
    <w:name w:val="Grid Table 1 Light - Accent 1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6">
    <w:name w:val="Grid Table 1 Light - Accent 2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7">
    <w:name w:val="Grid Table 1 Light - Accent 3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8">
    <w:name w:val="Grid Table 1 Light - Accent 4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9">
    <w:name w:val="Grid Table 1 Light - Accent 5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0">
    <w:name w:val="Grid Table 1 Light - Accent 6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1">
    <w:name w:val="Grid Table 2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2">
    <w:name w:val="Grid Table 2 - Accent 1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3">
    <w:name w:val="Grid Table 2 - Accent 2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4">
    <w:name w:val="Grid Table 2 - Accent 3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5">
    <w:name w:val="Grid Table 2 - Accent 4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6">
    <w:name w:val="Grid Table 2 - Accent 5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7">
    <w:name w:val="Grid Table 2 - Accent 6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8">
    <w:name w:val="Grid Table 3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9">
    <w:name w:val="Grid Table 3 - Accent 1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0">
    <w:name w:val="Grid Table 3 - Accent 2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1">
    <w:name w:val="Grid Table 3 - Accent 3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2">
    <w:name w:val="Grid Table 3 - Accent 4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3">
    <w:name w:val="Grid Table 3 - Accent 5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4">
    <w:name w:val="Grid Table 3 - Accent 6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5">
    <w:name w:val="Grid Table 4"/>
    <w:basedOn w:val="108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86">
    <w:name w:val="Grid Table 4 - Accent 1"/>
    <w:basedOn w:val="108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ce6f1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</w:tcBorders>
      </w:tcPr>
    </w:tblStylePr>
  </w:style>
  <w:style w:type="table" w:styleId="987">
    <w:name w:val="Grid Table 4 - Accent 2"/>
    <w:basedOn w:val="108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</w:tcBorders>
      </w:tcPr>
    </w:tblStylePr>
  </w:style>
  <w:style w:type="table" w:styleId="988">
    <w:name w:val="Grid Table 4 - Accent 3"/>
    <w:basedOn w:val="108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</w:tcBorders>
      </w:tcPr>
    </w:tblStylePr>
  </w:style>
  <w:style w:type="table" w:styleId="989">
    <w:name w:val="Grid Table 4 - Accent 4"/>
    <w:basedOn w:val="108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</w:tcBorders>
      </w:tcPr>
    </w:tblStylePr>
  </w:style>
  <w:style w:type="table" w:styleId="990">
    <w:name w:val="Grid Table 4 - Accent 5"/>
    <w:basedOn w:val="108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91">
    <w:name w:val="Grid Table 4 - Accent 6"/>
    <w:basedOn w:val="108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92">
    <w:name w:val="Grid Table 5 Dark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993">
    <w:name w:val="Grid Table 5 Dark- Accent 1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994">
    <w:name w:val="Grid Table 5 Dark - Accent 2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995">
    <w:name w:val="Grid Table 5 Dark - Accent 3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996">
    <w:name w:val="Grid Table 5 Dark- Accent 4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997">
    <w:name w:val="Grid Table 5 Dark - Accent 5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998">
    <w:name w:val="Grid Table 5 Dark - Accent 6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999">
    <w:name w:val="Grid Table 6 Colorful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04040" w:themeColor="text1" w:themeTint="80" w:themeShade="95"/>
        <w:sz w:val="22"/>
      </w:rPr>
    </w:tblStylePr>
  </w:style>
  <w:style w:type="table" w:styleId="1000">
    <w:name w:val="Grid Table 6 Colorful - Accent 1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404040" w:themeColor="accent1" w:themeTint="80" w:themeShade="95"/>
        <w:sz w:val="22"/>
      </w:rPr>
    </w:tblStylePr>
  </w:style>
  <w:style w:type="table" w:styleId="1001">
    <w:name w:val="Grid Table 6 Colorful - Accent 2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404040" w:themeColor="accent2" w:themeTint="97" w:themeShade="95"/>
        <w:sz w:val="22"/>
      </w:rPr>
    </w:tblStylePr>
  </w:style>
  <w:style w:type="table" w:styleId="1002">
    <w:name w:val="Grid Table 6 Colorful - Accent 3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404040" w:themeColor="accent3" w:themeTint="FE" w:themeShade="95"/>
        <w:sz w:val="22"/>
      </w:rPr>
    </w:tblStylePr>
  </w:style>
  <w:style w:type="table" w:styleId="1003">
    <w:name w:val="Grid Table 6 Colorful - Accent 4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404040" w:themeColor="accent4" w:themeTint="9A" w:themeShade="95"/>
        <w:sz w:val="22"/>
      </w:rPr>
    </w:tblStylePr>
  </w:style>
  <w:style w:type="table" w:styleId="1004">
    <w:name w:val="Grid Table 6 Colorful - Accent 5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1005">
    <w:name w:val="Grid Table 6 Colorful - Accent 6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1006">
    <w:name w:val="Grid Table 7 Colorful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7">
    <w:name w:val="Grid Table 7 Colorful - Accent 1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8">
    <w:name w:val="Grid Table 7 Colorful - Accent 2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9">
    <w:name w:val="Grid Table 7 Colorful - Accent 3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0">
    <w:name w:val="Grid Table 7 Colorful - Accent 4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1">
    <w:name w:val="Grid Table 7 Colorful - Accent 5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2">
    <w:name w:val="Grid Table 7 Colorful - Accent 6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3">
    <w:name w:val="List Table 1 Light"/>
    <w:basedOn w:val="108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4">
    <w:name w:val="List Table 1 Light - Accent 1"/>
    <w:basedOn w:val="108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5">
    <w:name w:val="List Table 1 Light - Accent 2"/>
    <w:basedOn w:val="108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6">
    <w:name w:val="List Table 1 Light - Accent 3"/>
    <w:basedOn w:val="108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7">
    <w:name w:val="List Table 1 Light - Accent 4"/>
    <w:basedOn w:val="108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8">
    <w:name w:val="List Table 1 Light - Accent 5"/>
    <w:basedOn w:val="108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9">
    <w:name w:val="List Table 1 Light - Accent 6"/>
    <w:basedOn w:val="108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0">
    <w:name w:val="List Table 2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021">
    <w:name w:val="List Table 2 - Accent 1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1022">
    <w:name w:val="List Table 2 - Accent 2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1023">
    <w:name w:val="List Table 2 - Accent 3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1024">
    <w:name w:val="List Table 2 - Accent 4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1025">
    <w:name w:val="List Table 2 - Accent 5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1026">
    <w:name w:val="List Table 2 - Accent 6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1027">
    <w:name w:val="List Table 3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8">
    <w:name w:val="List Table 3 - Accent 1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9">
    <w:name w:val="List Table 3 - Accent 2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0">
    <w:name w:val="List Table 3 - Accent 3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1">
    <w:name w:val="List Table 3 - Accent 4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2">
    <w:name w:val="List Table 3 - Accent 5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3">
    <w:name w:val="List Table 3 - Accent 6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4">
    <w:name w:val="List Table 4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5">
    <w:name w:val="List Table 4 - Accent 1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6">
    <w:name w:val="List Table 4 - Accent 2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7">
    <w:name w:val="List Table 4 - Accent 3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8">
    <w:name w:val="List Table 4 - Accent 4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9">
    <w:name w:val="List Table 4 - Accent 5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0">
    <w:name w:val="List Table 4 - Accent 6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1">
    <w:name w:val="List Table 5 Dark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1042">
    <w:name w:val="List Table 5 Dark - Accent 1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1043">
    <w:name w:val="List Table 5 Dark - Accent 2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1044">
    <w:name w:val="List Table 5 Dark - Accent 3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1045">
    <w:name w:val="List Table 5 Dark - Accent 4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1046">
    <w:name w:val="List Table 5 Dark - Accent 5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1047">
    <w:name w:val="List Table 5 Dark - Accent 6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1048">
    <w:name w:val="List Table 6 Colorful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1049">
    <w:name w:val="List Table 6 Colorful - Accent 1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050">
    <w:name w:val="List Table 6 Colorful - Accent 2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1051">
    <w:name w:val="List Table 6 Colorful - Accent 3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1052">
    <w:name w:val="List Table 6 Colorful - Accent 4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1053">
    <w:name w:val="List Table 6 Colorful - Accent 5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1054">
    <w:name w:val="List Table 6 Colorful - Accent 6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1055">
    <w:name w:val="List Table 7 Colorful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1056">
    <w:name w:val="List Table 7 Colorful - Accent 1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1057">
    <w:name w:val="List Table 7 Colorful - Accent 2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1058">
    <w:name w:val="List Table 7 Colorful - Accent 3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1059">
    <w:name w:val="List Table 7 Colorful - Accent 4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1060">
    <w:name w:val="List Table 7 Colorful - Accent 5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1061">
    <w:name w:val="List Table 7 Colorful - Accent 6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1062">
    <w:name w:val="Lined - Accent"/>
    <w:basedOn w:val="10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1063">
    <w:name w:val="Lined - Accent 1"/>
    <w:basedOn w:val="10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1064">
    <w:name w:val="Lined - Accent 2"/>
    <w:basedOn w:val="10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1065">
    <w:name w:val="Lined - Accent 3"/>
    <w:basedOn w:val="10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1066">
    <w:name w:val="Lined - Accent 4"/>
    <w:basedOn w:val="10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1067">
    <w:name w:val="Lined - Accent 5"/>
    <w:basedOn w:val="10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1068">
    <w:name w:val="Lined - Accent 6"/>
    <w:basedOn w:val="10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1069">
    <w:name w:val="Bordered &amp; Lined - Accent"/>
    <w:basedOn w:val="10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1070">
    <w:name w:val="Bordered &amp; Lined - Accent 1"/>
    <w:basedOn w:val="10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1071">
    <w:name w:val="Bordered &amp; Lined - Accent 2"/>
    <w:basedOn w:val="10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1072">
    <w:name w:val="Bordered &amp; Lined - Accent 3"/>
    <w:basedOn w:val="10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1073">
    <w:name w:val="Bordered &amp; Lined - Accent 4"/>
    <w:basedOn w:val="10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1074">
    <w:name w:val="Bordered &amp; Lined - Accent 5"/>
    <w:basedOn w:val="10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1075">
    <w:name w:val="Bordered &amp; Lined - Accent 6"/>
    <w:basedOn w:val="10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1076">
    <w:name w:val="Bordered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1077">
    <w:name w:val="Bordered - Accent 1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78">
    <w:name w:val="Bordered - Accent 2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1079">
    <w:name w:val="Bordered - Accent 3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1080">
    <w:name w:val="Bordered - Accent 4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1081">
    <w:name w:val="Bordered - Accent 5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1082">
    <w:name w:val="Bordered - Accent 6"/>
    <w:basedOn w:val="108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1083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 о порядке предоставления субсидий местным бюджетам из областного бюджета на компенсацию расходов транспортных предприятий, связанных с предоставлением сезонных льгот пенсионерам-садоводам и пенсионерам-огородникам в виде 50-проце</dc:title>
  <dc:subject/>
  <dc:creator>abramovskikh</dc:creator>
  <dc:description/>
  <dc:language>ru-RU</dc:language>
  <cp:lastModifiedBy>e.tsukanova</cp:lastModifiedBy>
  <cp:revision>80</cp:revision>
  <dcterms:created xsi:type="dcterms:W3CDTF">2020-10-14T05:15:00Z</dcterms:created>
  <dcterms:modified xsi:type="dcterms:W3CDTF">2026-03-23T06:27:58Z</dcterms:modified>
</cp:coreProperties>
</file>